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Regulatory Requirement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MDR Annex XIV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MEDDEV 2.7/1, rev. 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MDCG 2020-6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SOP describes the development of medical devices in accordance with regulatory requirements of Annex XIV (MDR) regarding medical device clinical performance. It ensures the level of</w:t>
      </w:r>
      <w:r>
        <w:t xml:space="preserve"> </w:t>
      </w:r>
      <w:r>
        <w:t xml:space="preserve">demonstrated safety and risk-benefit ratio that is required for our medical devices both for initial</w:t>
      </w:r>
      <w:r>
        <w:t xml:space="preserve"> </w:t>
      </w:r>
      <w:r>
        <w:t xml:space="preserve">certification and for continued safe use in the market.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816"/>
        <w:gridCol w:w="5104"/>
      </w:tblGrid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Process Owner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role of process owner&gt;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Key Performance Indicators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KPIs to be tracked for the Management Review&gt;</w:t>
            </w:r>
          </w:p>
        </w:tc>
      </w:tr>
    </w:tbl>
    <w:bookmarkEnd w:id="20"/>
    <w:bookmarkStart w:id="26" w:name="process-steps"/>
    <w:p>
      <w:pPr>
        <w:pStyle w:val="Heading2"/>
      </w:pPr>
      <w:r>
        <w:t xml:space="preserve">Process Steps</w:t>
      </w:r>
    </w:p>
    <w:bookmarkStart w:id="21" w:name="clinical-evaluation-plan"/>
    <w:p>
      <w:pPr>
        <w:pStyle w:val="Heading3"/>
      </w:pPr>
      <w:r>
        <w:t xml:space="preserve">1.1 Clinical Evaluation Plan</w:t>
      </w:r>
    </w:p>
    <w:p>
      <w:pPr>
        <w:pStyle w:val="FirstParagraph"/>
      </w:pPr>
      <w:r>
        <w:t xml:space="preserve">The clinical evaluation is initiated following a Management decision to place a new or updated medical device</w:t>
      </w:r>
      <w:r>
        <w:t xml:space="preserve"> </w:t>
      </w:r>
      <w:r>
        <w:t xml:space="preserve">on the market. The organization follows this process both for initial market placement and for continuous</w:t>
      </w:r>
      <w:r>
        <w:t xml:space="preserve"> </w:t>
      </w:r>
      <w:r>
        <w:t xml:space="preserve">updates during the marketing phase.</w:t>
      </w:r>
    </w:p>
    <w:p>
      <w:pPr>
        <w:pStyle w:val="BodyText"/>
      </w:pPr>
      <w:r>
        <w:t xml:space="preserve">The initial clinical evaluation is planned as part of the Clinical Evaluation Plan. During the marketing</w:t>
      </w:r>
      <w:r>
        <w:t xml:space="preserve"> </w:t>
      </w:r>
      <w:r>
        <w:t xml:space="preserve">phase, this plan is continuously updated as part of the Post-Market Clinical Follow-Up.</w:t>
      </w:r>
    </w:p>
    <w:p>
      <w:pPr>
        <w:pStyle w:val="BodyText"/>
      </w:pPr>
      <w:r>
        <w:t xml:space="preserve">External partners can be involved in both conducting the initial clinical evaluation and the post-market</w:t>
      </w:r>
      <w:r>
        <w:t xml:space="preserve"> </w:t>
      </w:r>
      <w:r>
        <w:t xml:space="preserve">clinical follow-up in order to ensure higher clinical expertise during the process and lower the risk of</w:t>
      </w:r>
      <w:r>
        <w:t xml:space="preserve"> </w:t>
      </w:r>
      <w:r>
        <w:t xml:space="preserve">regulatory nonconformity. In this case, different external partners should be evaluated with regard to</w:t>
      </w:r>
      <w:r>
        <w:t xml:space="preserve"> </w:t>
      </w:r>
      <w:r>
        <w:t xml:space="preserve">sufficient experience (see MEDDEV 2.7/1 rev. 4 section 6.2). The</w:t>
      </w:r>
      <w:r>
        <w:t xml:space="preserve"> </w:t>
      </w:r>
      <w:r>
        <w:rPr>
          <w:i/>
          <w:iCs/>
        </w:rPr>
        <w:t xml:space="preserve">&lt;Head of the Medical Team&gt;</w:t>
      </w:r>
      <w:r>
        <w:t xml:space="preserve"> </w:t>
      </w:r>
      <w:r>
        <w:t xml:space="preserve">serves as the</w:t>
      </w:r>
      <w:r>
        <w:t xml:space="preserve"> </w:t>
      </w:r>
      <w:r>
        <w:t xml:space="preserve">point of contact to provide all relevant information to the partner.</w:t>
      </w:r>
    </w:p>
    <w:p>
      <w:pPr>
        <w:pStyle w:val="BlockText"/>
      </w:pPr>
      <w:r>
        <w:t xml:space="preserve">NOTE: if your organization maintains a purchasing process, the selection of an external partner for the</w:t>
      </w:r>
      <w:r>
        <w:t xml:space="preserve"> </w:t>
      </w:r>
      <w:r>
        <w:t xml:space="preserve">clinical evaluation should be subject to supplier evaluation.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577"/>
        <w:gridCol w:w="7342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Medical Team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Initial release: decision on new device, preliminary product specifications (intended use, risk assessment, available preclinical data, information on equivalent devices, etc.)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Initial release: completed Clinical Evaluation Plan</w:t>
            </w:r>
          </w:p>
        </w:tc>
      </w:tr>
    </w:tbl>
    <w:bookmarkEnd w:id="21"/>
    <w:bookmarkStart w:id="22" w:name="clinical-evaluation-report"/>
    <w:p>
      <w:pPr>
        <w:pStyle w:val="Heading3"/>
      </w:pPr>
      <w:r>
        <w:t xml:space="preserve">1.2 Clinical Evaluation Report</w:t>
      </w:r>
    </w:p>
    <w:p>
      <w:pPr>
        <w:pStyle w:val="FirstParagraph"/>
      </w:pPr>
      <w:r>
        <w:t xml:space="preserve">Relevant data is collected and analyzed as part of writing the Clinical Evaluation Report to evaluate the</w:t>
      </w:r>
      <w:r>
        <w:t xml:space="preserve"> </w:t>
      </w:r>
      <w:r>
        <w:t xml:space="preserve">device’s clinical performance. The clinical evaluation shall consider at least the following points:</w:t>
      </w:r>
    </w:p>
    <w:p>
      <w:pPr>
        <w:pStyle w:val="Compact"/>
        <w:numPr>
          <w:ilvl w:val="0"/>
          <w:numId w:val="1001"/>
        </w:numPr>
      </w:pPr>
      <w:r>
        <w:t xml:space="preserve">Intended Use (incl. user and patient population, use environment, device features)</w:t>
      </w:r>
    </w:p>
    <w:p>
      <w:pPr>
        <w:pStyle w:val="Compact"/>
        <w:numPr>
          <w:ilvl w:val="0"/>
          <w:numId w:val="1001"/>
        </w:numPr>
      </w:pPr>
      <w:r>
        <w:t xml:space="preserve">Data to support equivalence with other devices (if applicable)</w:t>
      </w:r>
    </w:p>
    <w:p>
      <w:pPr>
        <w:pStyle w:val="Compact"/>
        <w:numPr>
          <w:ilvl w:val="0"/>
          <w:numId w:val="1001"/>
        </w:numPr>
      </w:pPr>
      <w:r>
        <w:t xml:space="preserve">Discussion of state of the art technology</w:t>
      </w:r>
    </w:p>
    <w:p>
      <w:pPr>
        <w:pStyle w:val="Compact"/>
        <w:numPr>
          <w:ilvl w:val="0"/>
          <w:numId w:val="1001"/>
        </w:numPr>
      </w:pPr>
      <w:r>
        <w:t xml:space="preserve">Discussion of the selected categories of clinical data, the quality of clinical data and its sufficiency to</w:t>
      </w:r>
      <w:r>
        <w:t xml:space="preserve"> </w:t>
      </w:r>
      <w:r>
        <w:t xml:space="preserve">support an overall balanced risk-benefit ratio of the device and compliance with the General Safety</w:t>
      </w:r>
      <w:r>
        <w:t xml:space="preserve"> </w:t>
      </w:r>
      <w:r>
        <w:t xml:space="preserve">Performance Requirements (MDR).</w:t>
      </w:r>
    </w:p>
    <w:p>
      <w:pPr>
        <w:pStyle w:val="FirstParagraph"/>
      </w:pPr>
      <w:r>
        <w:t xml:space="preserve">In the course of data collection and analysis, new risks may be identified and are documented accordingly as</w:t>
      </w:r>
      <w:r>
        <w:t xml:space="preserve"> </w:t>
      </w:r>
      <w:r>
        <w:t xml:space="preserve">updates to the risk management file.</w:t>
      </w:r>
    </w:p>
    <w:p>
      <w:pPr>
        <w:pStyle w:val="BlockText"/>
      </w:pPr>
      <w:r>
        <w:t xml:space="preserve">NOTE: where a Notified Body is involved in the conformity assessment of the device and the Medical team</w:t>
      </w:r>
      <w:r>
        <w:t xml:space="preserve"> </w:t>
      </w:r>
      <w:r>
        <w:t xml:space="preserve">identifies remaining uncertainty with regard to the sufficiency of the clinical data, the Notified Body can</w:t>
      </w:r>
      <w:r>
        <w:t xml:space="preserve"> </w:t>
      </w:r>
      <w:r>
        <w:t xml:space="preserve">be contacted to discuss additional measures (e.g., as part of the post-market clinical follow-up) that ensure</w:t>
      </w:r>
      <w:r>
        <w:t xml:space="preserve"> </w:t>
      </w:r>
      <w:r>
        <w:t xml:space="preserve">product conformity and approval.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274"/>
        <w:gridCol w:w="6645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Medical Team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specifications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Completed Clinical Evaluation Report</w:t>
            </w:r>
            <w:r>
              <w:t xml:space="preserve">If necessary: updated risk file</w:t>
            </w:r>
          </w:p>
        </w:tc>
      </w:tr>
    </w:tbl>
    <w:bookmarkEnd w:id="22"/>
    <w:bookmarkStart w:id="25" w:name="post-market-clinical-follow-up-pmcf"/>
    <w:p>
      <w:pPr>
        <w:pStyle w:val="Heading3"/>
      </w:pPr>
      <w:r>
        <w:t xml:space="preserve">1.3 Post-Market Clinical Follow-Up (PMCF)</w:t>
      </w:r>
    </w:p>
    <w:p>
      <w:pPr>
        <w:pStyle w:val="FirstParagraph"/>
      </w:pPr>
      <w:r>
        <w:t xml:space="preserve">Following the initial clinical evaluation, the organization plans the post-market clinical follow-up for the</w:t>
      </w:r>
      <w:r>
        <w:t xml:space="preserve"> </w:t>
      </w:r>
      <w:r>
        <w:t xml:space="preserve">medical device, ensuring its continuous safety and sufficient performance during the marketing phase. The PMCF</w:t>
      </w:r>
      <w:r>
        <w:t xml:space="preserve"> </w:t>
      </w:r>
      <w:r>
        <w:t xml:space="preserve">serves as input to regularly update the clinical evaluation.</w:t>
      </w:r>
    </w:p>
    <w:p>
      <w:pPr>
        <w:pStyle w:val="BodyText"/>
      </w:pPr>
      <w:r>
        <w:t xml:space="preserve">The Medical team is responsible to compile and implement a Post-Marketing Clinical Follow-Up Plan, including</w:t>
      </w:r>
      <w:r>
        <w:t xml:space="preserve"> </w:t>
      </w:r>
      <w:r>
        <w:t xml:space="preserve">at minimum:</w:t>
      </w:r>
    </w:p>
    <w:p>
      <w:pPr>
        <w:pStyle w:val="Compact"/>
        <w:numPr>
          <w:ilvl w:val="0"/>
          <w:numId w:val="1002"/>
        </w:numPr>
      </w:pPr>
      <w:r>
        <w:t xml:space="preserve">Methodology for data collection and justification for selected methods</w:t>
      </w:r>
    </w:p>
    <w:p>
      <w:pPr>
        <w:pStyle w:val="Compact"/>
        <w:numPr>
          <w:ilvl w:val="0"/>
          <w:numId w:val="1002"/>
        </w:numPr>
      </w:pPr>
      <w:r>
        <w:t xml:space="preserve">Consideration of new data related to the risk management file, the claims discussed in the Clinical</w:t>
      </w:r>
      <w:r>
        <w:t xml:space="preserve"> </w:t>
      </w:r>
      <w:r>
        <w:t xml:space="preserve">Evaluation Report or applicable regulations</w:t>
      </w:r>
    </w:p>
    <w:p>
      <w:pPr>
        <w:pStyle w:val="Compact"/>
        <w:numPr>
          <w:ilvl w:val="0"/>
          <w:numId w:val="1002"/>
        </w:numPr>
      </w:pPr>
      <w:r>
        <w:t xml:space="preserve">Specification of the PMCFP period (no longer than one year), including a time plan for PMCF activities and</w:t>
      </w:r>
      <w:r>
        <w:t xml:space="preserve"> </w:t>
      </w:r>
      <w:r>
        <w:t xml:space="preserve">the next update of the clinical evaluation</w:t>
      </w:r>
    </w:p>
    <w:p>
      <w:pPr>
        <w:pStyle w:val="FirstParagraph"/>
      </w:pPr>
      <w:r>
        <w:t xml:space="preserve">The CAPA process must be initiated if new information collected as part of the PMCF activities indicates that</w:t>
      </w:r>
      <w:r>
        <w:t xml:space="preserve"> </w:t>
      </w:r>
      <w:r>
        <w:t xml:space="preserve">a balanced risk-benefit ratio and the safety of the device is in question.</w:t>
      </w:r>
    </w:p>
    <w:p>
      <w:pPr>
        <w:pStyle w:val="BodyText"/>
      </w:pPr>
      <w:r>
        <w:t xml:space="preserve">All PMCF activities conducted per PMCF period are documented in a Post-Market Clinical Follow-Up Report.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"/>
        <w:gridCol w:w="7128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Medical team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Clinical Evaluation Report New clinical data during the marketing phase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Completed Post-Market Clinical Follow-Up Plan and Report</w:t>
            </w:r>
            <w:r>
              <w:t xml:space="preserve">If necessary: PMCF measures (e.g., CAPA, updated risk file, etc.)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3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4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openregulatory.com" TargetMode="External" /><Relationship Type="http://schemas.openxmlformats.org/officeDocument/2006/relationships/hyperlink" Id="rId24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openregulatory.com" TargetMode="External" /><Relationship Type="http://schemas.openxmlformats.org/officeDocument/2006/relationships/hyperlink" Id="rId24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2024-10-07T11:10:16Z</dcterms:created>
  <dcterms:modified xsi:type="dcterms:W3CDTF">2024-10-07T11:10:16Z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