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1" w:name="information-security-policy-and-scope"/>
    <w:p>
      <w:pPr>
        <w:pStyle w:val="Heading1"/>
      </w:pPr>
      <w:r>
        <w:t xml:space="preserve">Information Security Policy And Scope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353"/>
        <w:gridCol w:w="156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27001:2023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 Determining the scope of the information security management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4.4 Information security management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 Leadership and commitment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 Policy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 Organizational roles, responsibilities and authorities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The Information Security Policy describes the scope of the Information Security Management System (ISMS), its</w:t>
      </w:r>
      <w:r>
        <w:t xml:space="preserve"> </w:t>
      </w:r>
      <w:r>
        <w:t xml:space="preserve">documented procedures and a description of their interactions.</w:t>
      </w:r>
    </w:p>
    <w:bookmarkEnd w:id="20"/>
    <w:bookmarkStart w:id="21" w:name="scope"/>
    <w:p>
      <w:pPr>
        <w:pStyle w:val="Heading2"/>
      </w:pPr>
      <w:r>
        <w:t xml:space="preserve">1. Scope</w:t>
      </w:r>
    </w:p>
    <w:p>
      <w:pPr>
        <w:pStyle w:val="FirstParagraph"/>
      </w:pPr>
      <w:r>
        <w:t xml:space="preserve">The policy described in this document outlines the framework to manage information security in</w:t>
      </w:r>
      <w:r>
        <w:t xml:space="preserve"> </w:t>
      </w:r>
      <w:r>
        <w:rPr>
          <w:i/>
          <w:iCs/>
        </w:rPr>
        <w:t xml:space="preserve">&lt;your company</w:t>
      </w:r>
      <w:r>
        <w:rPr>
          <w:i/>
          <w:iCs/>
        </w:rPr>
        <w:t xml:space="preserve"> </w:t>
      </w:r>
      <w:r>
        <w:rPr>
          <w:i/>
          <w:iCs/>
        </w:rPr>
        <w:t xml:space="preserve">name&gt;</w:t>
      </w:r>
      <w:r>
        <w:t xml:space="preserve">.</w:t>
      </w:r>
    </w:p>
    <w:p>
      <w:pPr>
        <w:pStyle w:val="BodyText"/>
      </w:pPr>
      <w:r>
        <w:t xml:space="preserve">This policy applies to all employees, contractors, and third-party vendors of [Organization Name] who have</w:t>
      </w:r>
      <w:r>
        <w:t xml:space="preserve"> </w:t>
      </w:r>
      <w:r>
        <w:t xml:space="preserve">access to electronic and physical information systems and data.</w:t>
      </w:r>
    </w:p>
    <w:bookmarkEnd w:id="21"/>
    <w:bookmarkStart w:id="22" w:name="policy-statement"/>
    <w:p>
      <w:pPr>
        <w:pStyle w:val="Heading2"/>
      </w:pPr>
      <w:r>
        <w:t xml:space="preserve">2. Policy Statement</w:t>
      </w:r>
    </w:p>
    <w:p>
      <w:pPr>
        <w:pStyle w:val="FirstParagraph"/>
      </w:pPr>
      <w:r>
        <w:rPr>
          <w:i/>
          <w:iCs/>
        </w:rPr>
        <w:t xml:space="preserve">&lt;your company name&gt;</w:t>
      </w:r>
      <w:r>
        <w:t xml:space="preserve"> </w:t>
      </w:r>
      <w:r>
        <w:t xml:space="preserve">commits to maintaining the confidentiality, integrity, and availability of all its</w:t>
      </w:r>
      <w:r>
        <w:t xml:space="preserve"> </w:t>
      </w:r>
      <w:r>
        <w:t xml:space="preserve">information assets. This is achieved through:</w:t>
      </w:r>
    </w:p>
    <w:p>
      <w:pPr>
        <w:pStyle w:val="Compact"/>
        <w:numPr>
          <w:ilvl w:val="0"/>
          <w:numId w:val="1001"/>
        </w:numPr>
      </w:pPr>
      <w:r>
        <w:t xml:space="preserve">Implementing a comprehensive Information Security Management System (ISMS) compliant with ISO/IEC 27001:2023</w:t>
      </w:r>
      <w:r>
        <w:t xml:space="preserve"> </w:t>
      </w:r>
      <w:r>
        <w:t xml:space="preserve">standards.</w:t>
      </w:r>
    </w:p>
    <w:p>
      <w:pPr>
        <w:pStyle w:val="Compact"/>
        <w:numPr>
          <w:ilvl w:val="0"/>
          <w:numId w:val="1001"/>
        </w:numPr>
      </w:pPr>
      <w:r>
        <w:t xml:space="preserve">Regularly assessing the information security risks and implementing the appropriate measures to mitigate</w:t>
      </w:r>
      <w:r>
        <w:t xml:space="preserve"> </w:t>
      </w:r>
      <w:r>
        <w:t xml:space="preserve">identified risks.</w:t>
      </w:r>
    </w:p>
    <w:p>
      <w:pPr>
        <w:pStyle w:val="Compact"/>
        <w:numPr>
          <w:ilvl w:val="0"/>
          <w:numId w:val="1001"/>
        </w:numPr>
      </w:pPr>
      <w:r>
        <w:t xml:space="preserve">Ensuring that information security is an integral part of all IT and business processes.</w:t>
      </w:r>
    </w:p>
    <w:p>
      <w:pPr>
        <w:pStyle w:val="Compact"/>
        <w:numPr>
          <w:ilvl w:val="0"/>
          <w:numId w:val="1001"/>
        </w:numPr>
      </w:pPr>
      <w:r>
        <w:t xml:space="preserve">Providing ongoing training and support to all staff to ensure they understand their roles and</w:t>
      </w:r>
      <w:r>
        <w:t xml:space="preserve"> </w:t>
      </w:r>
      <w:r>
        <w:t xml:space="preserve">responsibilities in safeguarding sensitive information.</w:t>
      </w:r>
    </w:p>
    <w:p>
      <w:pPr>
        <w:pStyle w:val="Compact"/>
        <w:numPr>
          <w:ilvl w:val="0"/>
          <w:numId w:val="1001"/>
        </w:numPr>
      </w:pPr>
      <w:r>
        <w:t xml:space="preserve">Regularly reviewing and updating the ISMS to address new security challenges and business changes.</w:t>
      </w:r>
    </w:p>
    <w:bookmarkEnd w:id="22"/>
    <w:bookmarkStart w:id="23" w:name="information-security-principles"/>
    <w:p>
      <w:pPr>
        <w:pStyle w:val="Heading2"/>
      </w:pPr>
      <w:r>
        <w:t xml:space="preserve">3. Information Security Principles</w:t>
      </w:r>
    </w:p>
    <w:p>
      <w:pPr>
        <w:pStyle w:val="Compact"/>
        <w:numPr>
          <w:ilvl w:val="0"/>
          <w:numId w:val="1002"/>
        </w:numPr>
      </w:pPr>
      <w:r>
        <w:t xml:space="preserve">Confidentiality: Ensuring that information is accessible only to those authorized to have access.</w:t>
      </w:r>
    </w:p>
    <w:p>
      <w:pPr>
        <w:pStyle w:val="Compact"/>
        <w:numPr>
          <w:ilvl w:val="0"/>
          <w:numId w:val="1002"/>
        </w:numPr>
      </w:pPr>
      <w:r>
        <w:t xml:space="preserve">Integrity: Safeguarding the accuracy and completeness of information and processing methods.</w:t>
      </w:r>
    </w:p>
    <w:p>
      <w:pPr>
        <w:pStyle w:val="Compact"/>
        <w:numPr>
          <w:ilvl w:val="0"/>
          <w:numId w:val="1002"/>
        </w:numPr>
      </w:pPr>
      <w:r>
        <w:t xml:space="preserve">Availability: Ensuring that authorized users have access to information and associated assets when required.</w:t>
      </w:r>
    </w:p>
    <w:bookmarkEnd w:id="23"/>
    <w:bookmarkStart w:id="24" w:name="risk-management"/>
    <w:p>
      <w:pPr>
        <w:pStyle w:val="Heading2"/>
      </w:pPr>
      <w:r>
        <w:t xml:space="preserve">4. Risk Management</w:t>
      </w:r>
    </w:p>
    <w:p>
      <w:pPr>
        <w:pStyle w:val="FirstParagraph"/>
      </w:pPr>
      <w:r>
        <w:t xml:space="preserve">The organization will regularly carry out risk assessments to identify, evaluate, and address risks associated</w:t>
      </w:r>
      <w:r>
        <w:t xml:space="preserve"> </w:t>
      </w:r>
      <w:r>
        <w:t xml:space="preserve">with information security.</w:t>
      </w:r>
    </w:p>
    <w:bookmarkEnd w:id="24"/>
    <w:bookmarkStart w:id="25" w:name="incident-management"/>
    <w:p>
      <w:pPr>
        <w:pStyle w:val="Heading2"/>
      </w:pPr>
      <w:r>
        <w:t xml:space="preserve">5. Incident Management</w:t>
      </w:r>
    </w:p>
    <w:p>
      <w:pPr>
        <w:pStyle w:val="FirstParagraph"/>
      </w:pPr>
      <w:r>
        <w:t xml:space="preserve">A structured approach will be followed to handle security breaches or incidents, which includes incident</w:t>
      </w:r>
      <w:r>
        <w:t xml:space="preserve"> </w:t>
      </w:r>
      <w:r>
        <w:t xml:space="preserve">reporting, investigation, and mitigation strategies to prevent future occurrences.</w:t>
      </w:r>
    </w:p>
    <w:bookmarkEnd w:id="25"/>
    <w:bookmarkStart w:id="26" w:name="compliance"/>
    <w:p>
      <w:pPr>
        <w:pStyle w:val="Heading2"/>
      </w:pPr>
      <w:r>
        <w:t xml:space="preserve">6. Compliance</w:t>
      </w:r>
    </w:p>
    <w:p>
      <w:pPr>
        <w:pStyle w:val="FirstParagraph"/>
      </w:pPr>
      <w:r>
        <w:t xml:space="preserve">Compliance with this policy will be monitored and reviewed as part of the ongoing performance evaluation</w:t>
      </w:r>
      <w:r>
        <w:t xml:space="preserve"> </w:t>
      </w:r>
      <w:r>
        <w:t xml:space="preserve">process. Violations of this policy will result in disciplinary action, which may include termination and legal</w:t>
      </w:r>
      <w:r>
        <w:t xml:space="preserve"> </w:t>
      </w:r>
      <w:r>
        <w:t xml:space="preserve">action, depending on the severity of the breach.</w:t>
      </w:r>
    </w:p>
    <w:bookmarkEnd w:id="26"/>
    <w:bookmarkStart w:id="27" w:name="policy-review"/>
    <w:p>
      <w:pPr>
        <w:pStyle w:val="Heading2"/>
      </w:pPr>
      <w:r>
        <w:t xml:space="preserve">7. Policy Review</w:t>
      </w:r>
    </w:p>
    <w:p>
      <w:pPr>
        <w:pStyle w:val="FirstParagraph"/>
      </w:pPr>
      <w:r>
        <w:t xml:space="preserve">This policy will be reviewed annually or in response to significant organizational or technological changes to</w:t>
      </w:r>
      <w:r>
        <w:t xml:space="preserve"> </w:t>
      </w:r>
      <w:r>
        <w:t xml:space="preserve">ensure its continuing suitability, accuracy, and effectiveness.</w:t>
      </w:r>
    </w:p>
    <w:bookmarkEnd w:id="27"/>
    <w:bookmarkStart w:id="30" w:name="X078cfbafa678f0784a99b4e87e39f8f2ddb6aed"/>
    <w:p>
      <w:pPr>
        <w:pStyle w:val="Heading2"/>
      </w:pPr>
      <w:r>
        <w:t xml:space="preserve">8. Organizational Roles, Responsibilities and Authorities</w:t>
      </w:r>
    </w:p>
    <w:p>
      <w:pPr>
        <w:pStyle w:val="BlockText"/>
      </w:pPr>
      <w:r>
        <w:t xml:space="preserve">Describe the roles of the people in your company. Typically this is done by drawing an organigram (you could</w:t>
      </w:r>
      <w:r>
        <w:t xml:space="preserve"> </w:t>
      </w:r>
      <w:r>
        <w:t xml:space="preserve">use draw.io for that). Or, you just use a table like below.</w:t>
      </w:r>
    </w:p>
    <w:p>
      <w:pPr>
        <w:pStyle w:val="BlockText"/>
      </w:pPr>
      <w:r>
        <w:t xml:space="preserve">Minimum requirement information: required qualification and description of tasks related to QMS process</w:t>
      </w:r>
      <w:r>
        <w:t xml:space="preserve"> </w:t>
      </w:r>
      <w:r>
        <w:t xml:space="preserve">involvement If applicable, add: report / authority, access rights, etc.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Role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People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Steve Jobs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CTO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Steve Wozniak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Oliver Eidel</w:t>
            </w:r>
          </w:p>
        </w:tc>
      </w:tr>
    </w:tbl>
    <w:p>
      <w:pPr>
        <w:pStyle w:val="BodyText"/>
      </w:pPr>
      <w:r>
        <w:t xml:space="preserve">All C-level roles (CEO, CTO, CMO) are referred to as the Management. Management is generally responsible to</w:t>
      </w:r>
      <w:r>
        <w:t xml:space="preserve"> </w:t>
      </w:r>
      <w:r>
        <w:t xml:space="preserve">endorse and support the Information Security Policy by providing the necessary resources and authority to</w:t>
      </w:r>
      <w:r>
        <w:t xml:space="preserve"> </w:t>
      </w:r>
      <w:r>
        <w:t xml:space="preserve">implement it.</w:t>
      </w:r>
    </w:p>
    <w:p>
      <w:pPr>
        <w:pStyle w:val="BodyText"/>
      </w:pPr>
      <w:r>
        <w:t xml:space="preserve">The Information Security Officer (ISO) is responsible for maintaining the ISMS and ensuring the policy is</w:t>
      </w:r>
      <w:r>
        <w:t xml:space="preserve"> </w:t>
      </w:r>
      <w:r>
        <w:t xml:space="preserve">implemented, monitored, reviewed, and updated.</w:t>
      </w:r>
    </w:p>
    <w:p>
      <w:pPr>
        <w:pStyle w:val="BodyText"/>
      </w:pPr>
      <w:r>
        <w:t xml:space="preserve">All Employees are required to adhere to this policy and report any security breaches or incidents to the</w:t>
      </w:r>
      <w:r>
        <w:t xml:space="preserve"> </w:t>
      </w:r>
      <w:r>
        <w:t xml:space="preserve">designated authority.</w:t>
      </w:r>
    </w:p>
    <w:p>
      <w:pPr>
        <w:pStyle w:val="BodyText"/>
      </w:pPr>
      <w:r>
        <w:t xml:space="preserve">Required qualification for this role:</w:t>
      </w:r>
    </w:p>
    <w:p>
      <w:pPr>
        <w:pStyle w:val="Compact"/>
        <w:numPr>
          <w:ilvl w:val="0"/>
          <w:numId w:val="1003"/>
        </w:numPr>
      </w:pPr>
      <w:r>
        <w:t xml:space="preserve">Fluent in German and English language</w:t>
      </w:r>
    </w:p>
    <w:p>
      <w:pPr>
        <w:pStyle w:val="Compact"/>
        <w:numPr>
          <w:ilvl w:val="0"/>
          <w:numId w:val="1003"/>
        </w:numPr>
      </w:pPr>
      <w:r>
        <w:t xml:space="preserve">Training in the field of information security management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8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9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openregulatory.com" TargetMode="External" /><Relationship Type="http://schemas.openxmlformats.org/officeDocument/2006/relationships/hyperlink" Id="rId29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openregulatory.com" TargetMode="External" /><Relationship Type="http://schemas.openxmlformats.org/officeDocument/2006/relationships/hyperlink" Id="rId29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2025-01-07T08:54:11Z</dcterms:created>
  <dcterms:modified xsi:type="dcterms:W3CDTF">2025-01-07T08:54:11Z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