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8" w:name="sop-information-security-risk-assessment"/>
    <w:p>
      <w:pPr>
        <w:pStyle w:val="Heading1"/>
      </w:pPr>
      <w:r>
        <w:t xml:space="preserve">SOP Information Security Risk Assessment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6092"/>
        <w:gridCol w:w="1827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27001:2023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6.1.1 Actions to address risks and opportunities - General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1., 2., 3.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6.1.2 Information security risk assessment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6.1.3 Information security risk treatment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</w:t>
            </w:r>
          </w:p>
        </w:tc>
      </w:tr>
    </w:tbl>
    <w:bookmarkStart w:id="20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This document describes the process for assessing and treating information security risks within the</w:t>
      </w:r>
      <w:r>
        <w:t xml:space="preserve"> </w:t>
      </w:r>
      <w:r>
        <w:t xml:space="preserve">Information Security Management System (ISMS) at</w:t>
      </w:r>
      <w:r>
        <w:t xml:space="preserve"> </w:t>
      </w:r>
      <w:r>
        <w:rPr>
          <w:i/>
          <w:iCs/>
        </w:rPr>
        <w:t xml:space="preserve">&lt;your company name&gt;</w:t>
      </w:r>
      <w:r>
        <w:t xml:space="preserve">. It outlines the procedures for risk</w:t>
      </w:r>
      <w:r>
        <w:t xml:space="preserve"> </w:t>
      </w:r>
      <w:r>
        <w:t xml:space="preserve">identification, analysis, evaluation, and treatment to ensure that information security risks are managed</w:t>
      </w:r>
      <w:r>
        <w:t xml:space="preserve"> </w:t>
      </w:r>
      <w:r>
        <w:t xml:space="preserve">effectively.</w:t>
      </w:r>
    </w:p>
    <w:p>
      <w:pPr>
        <w:pStyle w:val="BodyText"/>
      </w:pPr>
      <w:r>
        <w:t xml:space="preserve">The purpose of the Information Security Risk Assessment Process is to identify, assess, and manage risks that</w:t>
      </w:r>
      <w:r>
        <w:t xml:space="preserve"> </w:t>
      </w:r>
      <w:r>
        <w:t xml:space="preserve">could potentially affect the confidentiality, integrity, and availability of the information assets of</w:t>
      </w:r>
      <w:r>
        <w:t xml:space="preserve"> </w:t>
      </w:r>
      <w:r>
        <w:rPr>
          <w:i/>
          <w:iCs/>
        </w:rPr>
        <w:t xml:space="preserve">&lt;your</w:t>
      </w:r>
      <w:r>
        <w:rPr>
          <w:i/>
          <w:iCs/>
        </w:rPr>
        <w:t xml:space="preserve"> </w:t>
      </w:r>
      <w:r>
        <w:rPr>
          <w:i/>
          <w:iCs/>
        </w:rPr>
        <w:t xml:space="preserve">company name&gt;</w:t>
      </w:r>
      <w:r>
        <w:t xml:space="preserve">. This process is vital for maintaining robust security practices and ensuring compliance with</w:t>
      </w:r>
      <w:r>
        <w:t xml:space="preserve"> </w:t>
      </w:r>
      <w:r>
        <w:t xml:space="preserve">ISO/IEC 27001:2023 standards.</w:t>
      </w:r>
    </w:p>
    <w:p>
      <w:pPr>
        <w:pStyle w:val="BodyText"/>
      </w:pPr>
      <w:r>
        <w:t xml:space="preserve">This document shall be reviewed annually or upon significant changes to the ISMS or the risk landscape. All</w:t>
      </w:r>
      <w:r>
        <w:t xml:space="preserve"> </w:t>
      </w:r>
      <w:r>
        <w:t xml:space="preserve">revisions must be approved by the Information Security Officer (ISO) and communicated to all relevant</w:t>
      </w:r>
      <w:r>
        <w:t xml:space="preserve"> </w:t>
      </w:r>
      <w:r>
        <w:t xml:space="preserve">stakeholders.</w:t>
      </w:r>
    </w:p>
    <w:bookmarkEnd w:id="20"/>
    <w:bookmarkStart w:id="27" w:name="process-steps"/>
    <w:p>
      <w:pPr>
        <w:pStyle w:val="Heading2"/>
      </w:pPr>
      <w:r>
        <w:t xml:space="preserve">Process Steps</w:t>
      </w:r>
    </w:p>
    <w:bookmarkStart w:id="21" w:name="risk-identification"/>
    <w:p>
      <w:pPr>
        <w:pStyle w:val="Heading3"/>
      </w:pPr>
      <w:r>
        <w:t xml:space="preserve">1. Risk Identification</w:t>
      </w:r>
    </w:p>
    <w:p>
      <w:pPr>
        <w:pStyle w:val="FirstParagraph"/>
      </w:pPr>
      <w:r>
        <w:t xml:space="preserve">The company will:</w:t>
      </w:r>
    </w:p>
    <w:p>
      <w:pPr>
        <w:pStyle w:val="Compact"/>
        <w:numPr>
          <w:ilvl w:val="0"/>
          <w:numId w:val="1001"/>
        </w:numPr>
      </w:pPr>
      <w:r>
        <w:t xml:space="preserve">Identify the risks associated with the loss of confidentiality, integrity, and availability of information</w:t>
      </w:r>
      <w:r>
        <w:t xml:space="preserve"> </w:t>
      </w:r>
      <w:r>
        <w:t xml:space="preserve">within the scope of the ISMS.</w:t>
      </w:r>
    </w:p>
    <w:p>
      <w:pPr>
        <w:pStyle w:val="Compact"/>
        <w:numPr>
          <w:ilvl w:val="0"/>
          <w:numId w:val="1001"/>
        </w:numPr>
      </w:pPr>
      <w:r>
        <w:t xml:space="preserve">Document the potential security threats and vulnerabilities that could affect the organization’s information</w:t>
      </w:r>
      <w:r>
        <w:t xml:space="preserve"> </w:t>
      </w:r>
      <w:r>
        <w:t xml:space="preserve">assets.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Management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Employees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Identified risks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Identified security threats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Identified vulnerabilities</w:t>
            </w:r>
          </w:p>
        </w:tc>
      </w:tr>
    </w:tbl>
    <w:bookmarkEnd w:id="21"/>
    <w:bookmarkStart w:id="22" w:name="risk-analysis"/>
    <w:p>
      <w:pPr>
        <w:pStyle w:val="Heading3"/>
      </w:pPr>
      <w:r>
        <w:t xml:space="preserve">2. Risk Analysis</w:t>
      </w:r>
    </w:p>
    <w:p>
      <w:pPr>
        <w:pStyle w:val="Compact"/>
        <w:numPr>
          <w:ilvl w:val="0"/>
          <w:numId w:val="1002"/>
        </w:numPr>
      </w:pPr>
      <w:r>
        <w:t xml:space="preserve">Analyze the likelihood of each identified risk occurring, along with its potential impact on the</w:t>
      </w:r>
      <w:r>
        <w:t xml:space="preserve"> </w:t>
      </w:r>
      <w:r>
        <w:t xml:space="preserve">organization.</w:t>
      </w:r>
    </w:p>
    <w:p>
      <w:pPr>
        <w:pStyle w:val="Compact"/>
        <w:numPr>
          <w:ilvl w:val="0"/>
          <w:numId w:val="1002"/>
        </w:numPr>
      </w:pPr>
      <w:r>
        <w:t xml:space="preserve">Utilize qualitative and quantitative methods to evaluate the severity of risks based on predefined criteria.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ISO</w:t>
            </w:r>
          </w:p>
        </w:tc>
      </w:tr>
    </w:tbl>
    <w:p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281"/>
        <w:gridCol w:w="4638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Identified risks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Analysis Plan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Identified security threats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Identified vulnerabilities</w:t>
            </w:r>
          </w:p>
        </w:tc>
        <w:tc>
          <w:tcPr/>
          <w:p>
            <w:pPr>
              <w:pStyle w:val="Compact"/>
            </w:pPr>
          </w:p>
        </w:tc>
      </w:tr>
    </w:tbl>
    <w:bookmarkEnd w:id="22"/>
    <w:bookmarkStart w:id="23" w:name="risk-assessment"/>
    <w:p>
      <w:pPr>
        <w:pStyle w:val="Heading3"/>
      </w:pPr>
      <w:r>
        <w:t xml:space="preserve">3. Risk Assessment</w:t>
      </w:r>
    </w:p>
    <w:p>
      <w:pPr>
        <w:pStyle w:val="Compact"/>
        <w:numPr>
          <w:ilvl w:val="0"/>
          <w:numId w:val="1003"/>
        </w:numPr>
      </w:pPr>
      <w:r>
        <w:t xml:space="preserve">Prioritize the risks based on their likelihood and impact.</w:t>
      </w:r>
    </w:p>
    <w:p>
      <w:pPr>
        <w:pStyle w:val="Compact"/>
        <w:numPr>
          <w:ilvl w:val="0"/>
          <w:numId w:val="1003"/>
        </w:numPr>
      </w:pPr>
      <w:r>
        <w:t xml:space="preserve">Determine which risks are acceptable and which require further action or treatment based on the risk</w:t>
      </w:r>
      <w:r>
        <w:t xml:space="preserve"> </w:t>
      </w:r>
      <w:r>
        <w:t xml:space="preserve">appetite of the organization.</w:t>
      </w:r>
    </w:p>
    <w:p>
      <w:pPr>
        <w:pStyle w:val="Compact"/>
        <w:numPr>
          <w:ilvl w:val="0"/>
          <w:numId w:val="1003"/>
        </w:numPr>
      </w:pPr>
      <w:r>
        <w:t xml:space="preserve">Identify appropriate risk treatment options such as risk avoidance, risk transfer, risk acceptance, or risk</w:t>
      </w:r>
      <w:r>
        <w:t xml:space="preserve"> </w:t>
      </w:r>
      <w:r>
        <w:t xml:space="preserve">mitigation.</w:t>
      </w:r>
    </w:p>
    <w:p>
      <w:pPr>
        <w:pStyle w:val="Compact"/>
        <w:numPr>
          <w:ilvl w:val="0"/>
          <w:numId w:val="1003"/>
        </w:numPr>
      </w:pPr>
      <w:r>
        <w:t xml:space="preserve">Select specific security controls to implement from Annex A of ISO/IEC 27001:2023 or other relevant sources.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Management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ISO</w:t>
            </w:r>
          </w:p>
        </w:tc>
      </w:tr>
    </w:tbl>
    <w:p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865"/>
        <w:gridCol w:w="405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Information Security Risk Analysis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Table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Analysis Report</w:t>
            </w:r>
          </w:p>
        </w:tc>
      </w:tr>
    </w:tbl>
    <w:bookmarkEnd w:id="23"/>
    <w:bookmarkStart w:id="26" w:name="monitoring-and-review"/>
    <w:p>
      <w:pPr>
        <w:pStyle w:val="Heading3"/>
      </w:pPr>
      <w:r>
        <w:t xml:space="preserve">4. Monitoring and Review</w:t>
      </w:r>
    </w:p>
    <w:p>
      <w:pPr>
        <w:pStyle w:val="Compact"/>
        <w:numPr>
          <w:ilvl w:val="0"/>
          <w:numId w:val="1004"/>
        </w:numPr>
      </w:pPr>
      <w:r>
        <w:t xml:space="preserve">Regularly monitor and review the effectiveness of the risk treatment measures and controls.</w:t>
      </w:r>
    </w:p>
    <w:p>
      <w:pPr>
        <w:pStyle w:val="Compact"/>
        <w:numPr>
          <w:ilvl w:val="0"/>
          <w:numId w:val="1004"/>
        </w:numPr>
      </w:pPr>
      <w:r>
        <w:t xml:space="preserve">Update the Risk Plan, Table and Report appropriately.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ISO</w:t>
            </w:r>
          </w:p>
        </w:tc>
      </w:tr>
    </w:tbl>
    <w:p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547"/>
        <w:gridCol w:w="437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Monitoring data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Information Security Risk Analysis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Analysis Plan (updated)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Information Security Risk Table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Table (updated)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Information Security Risk Analysis Report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Analysis Report (updated)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4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5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6"/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/openregulatory.com" TargetMode="External" /><Relationship Type="http://schemas.openxmlformats.org/officeDocument/2006/relationships/hyperlink" Id="rId25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openregulatory.com" TargetMode="External" /><Relationship Type="http://schemas.openxmlformats.org/officeDocument/2006/relationships/hyperlink" Id="rId25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2024-10-07T11:10:16Z</dcterms:created>
  <dcterms:modified xsi:type="dcterms:W3CDTF">2024-10-07T11:10:16Z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