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9" w:name="Xd106a3d041e3bdbf97753223270a9e934686d26"/>
    <w:p>
      <w:pPr>
        <w:pStyle w:val="Heading1"/>
      </w:pPr>
      <w:r>
        <w:t xml:space="preserve">SOP Corrective and Preventive Action (CAPA)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ISO 13485:2016 Section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Document Section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8.5.1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8.5.2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8.5.3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(All)</w:t>
            </w:r>
          </w:p>
        </w:tc>
      </w:tr>
    </w:tbl>
    <w:bookmarkStart w:id="20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This SOP describes how CAPAs are implemented and tracked.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2816"/>
        <w:gridCol w:w="5104"/>
      </w:tblGrid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Process Owner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role of process owner&gt;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Key Performance Indicators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/>
                <w:iCs/>
              </w:rPr>
              <w:t xml:space="preserve">&lt;enter KPIs to be tracked for the Management Review&gt;</w:t>
            </w:r>
          </w:p>
        </w:tc>
      </w:tr>
    </w:tbl>
    <w:bookmarkEnd w:id="20"/>
    <w:bookmarkStart w:id="28" w:name="process-steps"/>
    <w:p>
      <w:pPr>
        <w:pStyle w:val="Heading2"/>
      </w:pPr>
      <w:r>
        <w:t xml:space="preserve">Process Steps</w:t>
      </w:r>
    </w:p>
    <w:bookmarkStart w:id="21" w:name="input-for-capa"/>
    <w:p>
      <w:pPr>
        <w:pStyle w:val="Heading3"/>
      </w:pPr>
      <w:r>
        <w:t xml:space="preserve">1. Input for CAPA</w:t>
      </w:r>
    </w:p>
    <w:p>
      <w:pPr>
        <w:pStyle w:val="FirstParagraph"/>
      </w:pPr>
      <w:r>
        <w:t xml:space="preserve">Various events may lead to creation of CAPA. Examples include:</w:t>
      </w:r>
    </w:p>
    <w:p>
      <w:pPr>
        <w:pStyle w:val="Compact"/>
        <w:numPr>
          <w:ilvl w:val="0"/>
          <w:numId w:val="1001"/>
        </w:numPr>
      </w:pPr>
      <w:r>
        <w:t xml:space="preserve">Product or QMS non-conformities</w:t>
      </w:r>
    </w:p>
    <w:p>
      <w:pPr>
        <w:pStyle w:val="Compact"/>
        <w:numPr>
          <w:ilvl w:val="0"/>
          <w:numId w:val="1001"/>
        </w:numPr>
      </w:pPr>
      <w:r>
        <w:t xml:space="preserve">Customer complaints</w:t>
      </w:r>
    </w:p>
    <w:p>
      <w:pPr>
        <w:pStyle w:val="Compact"/>
        <w:numPr>
          <w:ilvl w:val="0"/>
          <w:numId w:val="1001"/>
        </w:numPr>
      </w:pPr>
      <w:r>
        <w:t xml:space="preserve">Internal bug reports, e.g. by developers</w:t>
      </w:r>
    </w:p>
    <w:p>
      <w:pPr>
        <w:pStyle w:val="Compact"/>
        <w:numPr>
          <w:ilvl w:val="0"/>
          <w:numId w:val="1001"/>
        </w:numPr>
      </w:pPr>
      <w:r>
        <w:t xml:space="preserve">Audit findings</w:t>
      </w:r>
    </w:p>
    <w:p>
      <w:pPr>
        <w:pStyle w:val="Compact"/>
        <w:numPr>
          <w:ilvl w:val="0"/>
          <w:numId w:val="1001"/>
        </w:numPr>
      </w:pPr>
      <w:r>
        <w:t xml:space="preserve">Post-market surveillance findings, including trends</w:t>
      </w:r>
    </w:p>
    <w:p>
      <w:pPr>
        <w:pStyle w:val="Compact"/>
        <w:numPr>
          <w:ilvl w:val="0"/>
          <w:numId w:val="1001"/>
        </w:numPr>
      </w:pPr>
      <w:r>
        <w:t xml:space="preserve">Management review findings, including trends</w:t>
      </w:r>
    </w:p>
    <w:p>
      <w:pPr>
        <w:pStyle w:val="FirstParagraph"/>
      </w:pPr>
      <w:r>
        <w:t xml:space="preserve">These inputs may be received from any person inside or outside the company. The QMO is responsible for</w:t>
      </w:r>
      <w:r>
        <w:t xml:space="preserve"> </w:t>
      </w:r>
      <w:r>
        <w:t xml:space="preserve">creating the CAPA and tracking its resolution.</w:t>
      </w:r>
    </w:p>
    <w:p>
      <w:pPr>
        <w:pStyle w:val="BodyText"/>
      </w:pPr>
      <w:r>
        <w:t xml:space="preserve">CAPAs are tracked in the CAPA list.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Non-conformity, complaint, etc.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CAPA created</w:t>
            </w:r>
          </w:p>
        </w:tc>
      </w:tr>
    </w:tbl>
    <w:bookmarkEnd w:id="21"/>
    <w:bookmarkStart w:id="22" w:name="X4837d46f2b4867c51a2c6edc63e740eb6f64d5a"/>
    <w:p>
      <w:pPr>
        <w:pStyle w:val="Heading3"/>
      </w:pPr>
      <w:r>
        <w:t xml:space="preserve">2. Decision on Next Steps and Immediate Action</w:t>
      </w:r>
    </w:p>
    <w:p>
      <w:pPr>
        <w:pStyle w:val="FirstParagraph"/>
      </w:pPr>
      <w:r>
        <w:t xml:space="preserve">If immediate action is necessary (e.g. field safety corrective action or a notification to authorities according to SOP Vigilance), the QMO consults the</w:t>
      </w:r>
      <w:r>
        <w:t xml:space="preserve"> </w:t>
      </w:r>
      <w:r>
        <w:t xml:space="preserve">Person Responsible for Regulatory Compliance. Immediate action is carried out without undue delay (see ISO 13485 para. 8.5.2).</w:t>
      </w:r>
    </w:p>
    <w:p>
      <w:pPr>
        <w:pStyle w:val="BodyText"/>
      </w:pPr>
      <w:r>
        <w:t xml:space="preserve">In any case, the QMO discusses the next steps with the person closest to the issue, e.g. for software bugs, the</w:t>
      </w:r>
      <w:r>
        <w:t xml:space="preserve"> </w:t>
      </w:r>
      <w:r>
        <w:t xml:space="preserve">Head of Software Development.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Medical Device Safety Officer / Person Responsible for Regulatory Compliance (optional)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CAPA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CAPA, updated with action</w:t>
            </w:r>
          </w:p>
        </w:tc>
      </w:tr>
    </w:tbl>
    <w:bookmarkEnd w:id="22"/>
    <w:bookmarkStart w:id="23" w:name="root-cause-analysis"/>
    <w:p>
      <w:pPr>
        <w:pStyle w:val="Heading3"/>
      </w:pPr>
      <w:r>
        <w:t xml:space="preserve">3. Root Cause Analysis</w:t>
      </w:r>
    </w:p>
    <w:p>
      <w:pPr>
        <w:pStyle w:val="FirstParagraph"/>
      </w:pPr>
      <w:r>
        <w:t xml:space="preserve">The QMO coordinates a root cause analysis with the person closest to the issue. The preferred method for this</w:t>
      </w:r>
      <w:r>
        <w:t xml:space="preserve"> </w:t>
      </w:r>
      <w:r>
        <w:t xml:space="preserve">is Five Whys. The result is added to the CAPA list.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Other people in company (optional)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CAPA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CAPA, updated with root cause</w:t>
            </w:r>
          </w:p>
        </w:tc>
      </w:tr>
    </w:tbl>
    <w:bookmarkEnd w:id="23"/>
    <w:bookmarkStart w:id="24" w:name="implementation-of-action"/>
    <w:p>
      <w:pPr>
        <w:pStyle w:val="Heading3"/>
      </w:pPr>
      <w:r>
        <w:t xml:space="preserve">4. Implementation of Action</w:t>
      </w:r>
    </w:p>
    <w:p>
      <w:pPr>
        <w:pStyle w:val="FirstParagraph"/>
      </w:pPr>
      <w:r>
        <w:t xml:space="preserve">The QMO coordinates defining and implementing corrective and preventive action. Additionally, the QMO takes</w:t>
      </w:r>
      <w:r>
        <w:t xml:space="preserve"> </w:t>
      </w:r>
      <w:r>
        <w:t xml:space="preserve">into account adverse negative implications and verifies that the actions do not adversely affect the ability</w:t>
      </w:r>
      <w:r>
        <w:t xml:space="preserve"> </w:t>
      </w:r>
      <w:r>
        <w:t xml:space="preserve">to meet applicable regulatory requirements or the safety and performance of the medical device. Outcomes are</w:t>
      </w:r>
      <w:r>
        <w:t xml:space="preserve"> </w:t>
      </w:r>
      <w:r>
        <w:t xml:space="preserve">documented in the CAPA list.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Other people in company (optional)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CAPA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CAPA, updated with action plan</w:t>
            </w:r>
          </w:p>
        </w:tc>
      </w:tr>
    </w:tbl>
    <w:bookmarkEnd w:id="24"/>
    <w:bookmarkStart w:id="27" w:name="verification-and-check-of-effectiveness"/>
    <w:p>
      <w:pPr>
        <w:pStyle w:val="Heading3"/>
      </w:pPr>
      <w:r>
        <w:t xml:space="preserve">5. Verification and Check of Effectiveness</w:t>
      </w:r>
    </w:p>
    <w:p>
      <w:pPr>
        <w:pStyle w:val="FirstParagraph"/>
      </w:pPr>
      <w:r>
        <w:t xml:space="preserve">The QMO conducts the verification and effectiveness review of the implemented action. These are defined as</w:t>
      </w:r>
      <w:r>
        <w:t xml:space="preserve"> </w:t>
      </w:r>
      <w:r>
        <w:t xml:space="preserve">below. Thereafter, the QMO closes the CAPA.</w:t>
      </w:r>
    </w:p>
    <w:p>
      <w:pPr>
        <w:pStyle w:val="Compact"/>
        <w:numPr>
          <w:ilvl w:val="0"/>
          <w:numId w:val="1002"/>
        </w:numPr>
      </w:pPr>
      <w:r>
        <w:t xml:space="preserve">Verification: Documenting proof of implementation of actions taken.</w:t>
      </w:r>
    </w:p>
    <w:p>
      <w:pPr>
        <w:pStyle w:val="Compact"/>
        <w:numPr>
          <w:ilvl w:val="0"/>
          <w:numId w:val="1002"/>
        </w:numPr>
      </w:pPr>
      <w:r>
        <w:t xml:space="preserve">Effectiveness: Review of the effectiveness of actions taken.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Participants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QMO</w:t>
            </w:r>
          </w:p>
        </w:tc>
      </w:tr>
    </w:tbl>
    <w:p/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39"/>
        <w:gridCol w:w="71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Input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Output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CAPA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CAPA, updated with verification, effectiveness review, closed date</w:t>
            </w: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5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6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7"/>
    <w:bookmarkEnd w:id="28"/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openregulatory.com" TargetMode="External" /><Relationship Type="http://schemas.openxmlformats.org/officeDocument/2006/relationships/hyperlink" Id="rId26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openregulatory.com" TargetMode="External" /><Relationship Type="http://schemas.openxmlformats.org/officeDocument/2006/relationships/hyperlink" Id="rId26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2024-10-07T11:10:14Z</dcterms:created>
  <dcterms:modified xsi:type="dcterms:W3CDTF">2024-10-07T11:10:14Z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