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Regulatory Requirement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 Section 8.2.4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All</w:t>
            </w:r>
          </w:p>
        </w:tc>
      </w:tr>
    </w:tbl>
    <w:bookmarkStart w:id="20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This SOP describes how internal auditing is performed for the purpose of reviewing compliance with regulatory</w:t>
      </w:r>
      <w:r>
        <w:t xml:space="preserve"> </w:t>
      </w:r>
      <w:r>
        <w:t xml:space="preserve">requirements. It can be used for both internal and supplier audits.</w:t>
      </w:r>
    </w:p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2816"/>
        <w:gridCol w:w="5104"/>
      </w:tblGrid>
      <w:tr>
        <w:tc>
          <w:tcPr/>
          <w:p>
            <w:pPr>
              <w:pStyle w:val="Compact"/>
              <w:jc w:val="left"/>
            </w:pPr>
            <w:r>
              <w:rPr>
                <w:b/>
                <w:bCs/>
              </w:rPr>
              <w:t xml:space="preserve">Process Owner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&lt;enter role of process owner&gt;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/>
                <w:bCs/>
              </w:rPr>
              <w:t xml:space="preserve">Key Performance Indicators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&lt;enter KPIs to be tracked for the Management Review&gt;</w:t>
            </w:r>
          </w:p>
        </w:tc>
      </w:tr>
    </w:tbl>
    <w:bookmarkEnd w:id="20"/>
    <w:bookmarkStart w:id="24" w:name="general-considerations"/>
    <w:p>
      <w:pPr>
        <w:pStyle w:val="Heading2"/>
      </w:pPr>
      <w:r>
        <w:t xml:space="preserve">1. General Considerations</w:t>
      </w:r>
    </w:p>
    <w:bookmarkStart w:id="21" w:name="auditor-qualification"/>
    <w:p>
      <w:pPr>
        <w:pStyle w:val="Heading3"/>
      </w:pPr>
      <w:r>
        <w:t xml:space="preserve">1.1 Auditor Qualification</w:t>
      </w:r>
    </w:p>
    <w:p>
      <w:pPr>
        <w:pStyle w:val="FirstParagraph"/>
      </w:pPr>
      <w:r>
        <w:t xml:space="preserve">Auditors that conduct audits must be sufficiently qualified by having attended external auditor training and</w:t>
      </w:r>
      <w:r>
        <w:t xml:space="preserve"> </w:t>
      </w:r>
      <w:r>
        <w:t xml:space="preserve">by having participated in audits before.</w:t>
      </w:r>
    </w:p>
    <w:bookmarkEnd w:id="21"/>
    <w:bookmarkStart w:id="22" w:name="audit-guidelines"/>
    <w:p>
      <w:pPr>
        <w:pStyle w:val="Heading3"/>
      </w:pPr>
      <w:r>
        <w:t xml:space="preserve">1.2 Audit Guidelines</w:t>
      </w:r>
    </w:p>
    <w:p>
      <w:pPr>
        <w:pStyle w:val="FirstParagraph"/>
      </w:pPr>
      <w:r>
        <w:t xml:space="preserve">Auditors must adhere to the following guiding principles:</w:t>
      </w:r>
    </w:p>
    <w:p>
      <w:pPr>
        <w:pStyle w:val="Compact"/>
        <w:numPr>
          <w:ilvl w:val="0"/>
          <w:numId w:val="1001"/>
        </w:numPr>
      </w:pPr>
      <w:r>
        <w:rPr>
          <w:b/>
          <w:bCs/>
        </w:rPr>
        <w:t xml:space="preserve">Integrity:</w:t>
      </w:r>
      <w:r>
        <w:t xml:space="preserve"> </w:t>
      </w:r>
      <w:r>
        <w:t xml:space="preserve">all participants of an audit shall give honest presentations of their views and knowledge,</w:t>
      </w:r>
      <w:r>
        <w:t xml:space="preserve"> </w:t>
      </w:r>
      <w:r>
        <w:t xml:space="preserve">observe confidentiality regarding sensitive information towards third parties and conduct audit work in a</w:t>
      </w:r>
      <w:r>
        <w:t xml:space="preserve"> </w:t>
      </w:r>
      <w:r>
        <w:t xml:space="preserve">thorough manner.</w:t>
      </w:r>
    </w:p>
    <w:p>
      <w:pPr>
        <w:pStyle w:val="Compact"/>
        <w:numPr>
          <w:ilvl w:val="0"/>
          <w:numId w:val="1001"/>
        </w:numPr>
      </w:pPr>
      <w:r>
        <w:rPr>
          <w:b/>
          <w:bCs/>
        </w:rPr>
        <w:t xml:space="preserve">Objectivity</w:t>
      </w:r>
      <w:r>
        <w:t xml:space="preserve">: auditors must act impartial, free of any favoritism and conflicts of interest regarding the</w:t>
      </w:r>
      <w:r>
        <w:t xml:space="preserve"> </w:t>
      </w:r>
      <w:r>
        <w:t xml:space="preserve">subject of their work.</w:t>
      </w:r>
    </w:p>
    <w:p>
      <w:pPr>
        <w:pStyle w:val="Compact"/>
        <w:numPr>
          <w:ilvl w:val="0"/>
          <w:numId w:val="1001"/>
        </w:numPr>
      </w:pPr>
      <w:r>
        <w:rPr>
          <w:b/>
          <w:bCs/>
        </w:rPr>
        <w:t xml:space="preserve">Verifiability:</w:t>
      </w:r>
      <w:r>
        <w:t xml:space="preserve"> </w:t>
      </w:r>
      <w:r>
        <w:t xml:space="preserve">auditors must collect evidence to support their assessments. Documentation must include</w:t>
      </w:r>
      <w:r>
        <w:t xml:space="preserve"> </w:t>
      </w:r>
      <w:r>
        <w:t xml:space="preserve">audit plans, audit criteria and detailed evidence of audit findings so that outcomes are reliable and</w:t>
      </w:r>
      <w:r>
        <w:t xml:space="preserve"> </w:t>
      </w:r>
      <w:r>
        <w:t xml:space="preserve">comprehensible for later reference.</w:t>
      </w:r>
    </w:p>
    <w:bookmarkEnd w:id="22"/>
    <w:bookmarkStart w:id="23" w:name="audit-findings"/>
    <w:p>
      <w:pPr>
        <w:pStyle w:val="Heading3"/>
      </w:pPr>
      <w:r>
        <w:t xml:space="preserve">1.3 Audit Findings</w:t>
      </w:r>
    </w:p>
    <w:p>
      <w:pPr>
        <w:pStyle w:val="FirstParagraph"/>
      </w:pPr>
      <w:r>
        <w:t xml:space="preserve">The following categories of audit findings are defined for the organization:</w:t>
      </w:r>
    </w:p>
    <w:p>
      <w:pPr>
        <w:pStyle w:val="BodyText"/>
      </w:pPr>
      <w:r>
        <w:rPr>
          <w:b/>
          <w:bCs/>
        </w:rPr>
        <w:t xml:space="preserve">Major Nonconformities (MNC+):</w:t>
      </w:r>
    </w:p>
    <w:p>
      <w:pPr>
        <w:pStyle w:val="BodyText"/>
      </w:pPr>
      <w:r>
        <w:t xml:space="preserve">Major nonconformities are systematic deviations from regulatory requirements that indicate disabilities of the</w:t>
      </w:r>
      <w:r>
        <w:t xml:space="preserve"> </w:t>
      </w:r>
      <w:r>
        <w:t xml:space="preserve">organization’s QMS to deliver intended outputs. For instance, major nonconformities would entail the lack of a</w:t>
      </w:r>
      <w:r>
        <w:t xml:space="preserve"> </w:t>
      </w:r>
      <w:r>
        <w:t xml:space="preserve">process, repeated minor nonconformity regarding the same process or QMS segment and failure to eliminate the</w:t>
      </w:r>
      <w:r>
        <w:t xml:space="preserve"> </w:t>
      </w:r>
      <w:r>
        <w:t xml:space="preserve">cause of that nonconformity.</w:t>
      </w:r>
    </w:p>
    <w:p>
      <w:pPr>
        <w:pStyle w:val="BodyText"/>
      </w:pPr>
      <w:r>
        <w:rPr>
          <w:b/>
          <w:bCs/>
        </w:rPr>
        <w:t xml:space="preserve">Minor Nonconformities (MNC-):</w:t>
      </w:r>
    </w:p>
    <w:p>
      <w:pPr>
        <w:pStyle w:val="BodyText"/>
      </w:pPr>
      <w:r>
        <w:t xml:space="preserve">Minor nonconformities do not indicate systematic malfunctioning of an entire process or the entire QMS. The</w:t>
      </w:r>
      <w:r>
        <w:t xml:space="preserve"> </w:t>
      </w:r>
      <w:r>
        <w:t xml:space="preserve">general ability to ensure controlled, conforming processes and products is upheld nevertheless. Examples are</w:t>
      </w:r>
      <w:r>
        <w:t xml:space="preserve"> </w:t>
      </w:r>
      <w:r>
        <w:t xml:space="preserve">single, isolated events like a mislabeled document or a missing review documentation.</w:t>
      </w:r>
    </w:p>
    <w:p>
      <w:pPr>
        <w:pStyle w:val="BodyText"/>
      </w:pPr>
      <w:r>
        <w:rPr>
          <w:b/>
          <w:bCs/>
        </w:rPr>
        <w:t xml:space="preserve">Recommendations (REC):</w:t>
      </w:r>
    </w:p>
    <w:p>
      <w:pPr>
        <w:pStyle w:val="BodyText"/>
      </w:pPr>
      <w:r>
        <w:t xml:space="preserve">Recommendations entail auditor advice for improved QMS effectiveness or efficacy.</w:t>
      </w:r>
    </w:p>
    <w:bookmarkEnd w:id="23"/>
    <w:bookmarkEnd w:id="24"/>
    <w:bookmarkStart w:id="30" w:name="process-steps"/>
    <w:p>
      <w:pPr>
        <w:pStyle w:val="Heading2"/>
      </w:pPr>
      <w:r>
        <w:t xml:space="preserve">2. Process Steps</w:t>
      </w:r>
    </w:p>
    <w:bookmarkStart w:id="25" w:name="compilation-or-revision-of-audit-program"/>
    <w:p>
      <w:pPr>
        <w:pStyle w:val="Heading3"/>
      </w:pPr>
      <w:r>
        <w:t xml:space="preserve">2.1 Compilation or Revision of Audit Program</w:t>
      </w:r>
    </w:p>
    <w:p>
      <w:pPr>
        <w:pStyle w:val="FirstParagraph"/>
      </w:pPr>
      <w:r>
        <w:t xml:space="preserve">Audits are based on the organization’s QMS processes. The QMO is responsible to maintain a perennial audit</w:t>
      </w:r>
      <w:r>
        <w:t xml:space="preserve"> </w:t>
      </w:r>
      <w:r>
        <w:t xml:space="preserve">program that ensures:</w:t>
      </w:r>
    </w:p>
    <w:p>
      <w:pPr>
        <w:pStyle w:val="Compact"/>
        <w:numPr>
          <w:ilvl w:val="0"/>
          <w:numId w:val="1002"/>
        </w:numPr>
      </w:pPr>
      <w:r>
        <w:t xml:space="preserve">That core processes (as defined in the quality manual) are audited at least annually,</w:t>
      </w:r>
    </w:p>
    <w:p>
      <w:pPr>
        <w:pStyle w:val="Compact"/>
        <w:numPr>
          <w:ilvl w:val="0"/>
          <w:numId w:val="1002"/>
        </w:numPr>
      </w:pPr>
      <w:r>
        <w:t xml:space="preserve">That processes presenting higher compliance risks based on previous audit findings, CAPAs or changes to the</w:t>
      </w:r>
      <w:r>
        <w:t xml:space="preserve"> </w:t>
      </w:r>
      <w:r>
        <w:t xml:space="preserve">QMS system are audited more frequently.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QMO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Previous findings, CAPAs, QMS changes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(Updated) audit program</w:t>
            </w:r>
          </w:p>
        </w:tc>
      </w:tr>
    </w:tbl>
    <w:bookmarkEnd w:id="25"/>
    <w:bookmarkStart w:id="26" w:name="conducting-audits"/>
    <w:p>
      <w:pPr>
        <w:pStyle w:val="Heading3"/>
      </w:pPr>
      <w:r>
        <w:t xml:space="preserve">2.2 Conducting Audits</w:t>
      </w:r>
    </w:p>
    <w:p>
      <w:pPr>
        <w:pStyle w:val="FirstParagraph"/>
      </w:pPr>
      <w:r>
        <w:t xml:space="preserve">Audits are planned separately by respective auditors, coordination is supported by the QMO. Once a scheduled</w:t>
      </w:r>
      <w:r>
        <w:t xml:space="preserve"> </w:t>
      </w:r>
      <w:r>
        <w:t xml:space="preserve">audit date approaches, the QMO informs relevant members of the organization to ensure their availability for</w:t>
      </w:r>
      <w:r>
        <w:t xml:space="preserve"> </w:t>
      </w:r>
      <w:r>
        <w:t xml:space="preserve">potential auditor questions during the audit. QMO and auditor together compile an audit plan that specifies</w:t>
      </w:r>
      <w:r>
        <w:t xml:space="preserve"> </w:t>
      </w:r>
      <w:r>
        <w:t xml:space="preserve">the audit scope, objectives and participants.</w:t>
      </w:r>
    </w:p>
    <w:p>
      <w:pPr>
        <w:pStyle w:val="BodyText"/>
      </w:pPr>
      <w:r>
        <w:t xml:space="preserve">Audit objectives may entail: review of compliance of processes with regulatory requirements, review of</w:t>
      </w:r>
      <w:r>
        <w:t xml:space="preserve"> </w:t>
      </w:r>
      <w:r>
        <w:t xml:space="preserve">compliance with processes, review of the effective implementation of corrective and preventive action (CAPA).</w:t>
      </w:r>
    </w:p>
    <w:p>
      <w:pPr>
        <w:pStyle w:val="BodyText"/>
      </w:pPr>
      <w:r>
        <w:t xml:space="preserve">Audits are conducted by inspecting appropriate process records and by interviewing members of the</w:t>
      </w:r>
      <w:r>
        <w:t xml:space="preserve"> </w:t>
      </w:r>
      <w:r>
        <w:t xml:space="preserve">organization. The auditor documents collected evidence, observations and findings as part of an audit report.</w:t>
      </w:r>
    </w:p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1458"/>
        <w:gridCol w:w="6461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Auditor, QMO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Audit program Quality Management System, incl. records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Audit plan (before the audit) Audit report (after the audit)</w:t>
            </w:r>
          </w:p>
        </w:tc>
      </w:tr>
    </w:tbl>
    <w:bookmarkEnd w:id="26"/>
    <w:bookmarkStart w:id="29" w:name="audit-follow-up"/>
    <w:p>
      <w:pPr>
        <w:pStyle w:val="Heading3"/>
      </w:pPr>
      <w:r>
        <w:t xml:space="preserve">2.3 Audit Follow-Up</w:t>
      </w:r>
    </w:p>
    <w:p>
      <w:pPr>
        <w:pStyle w:val="FirstParagraph"/>
      </w:pPr>
      <w:r>
        <w:t xml:space="preserve">For all major nonconformities resulting from audit findings, a separate CAPA is initiated.</w:t>
      </w:r>
      <w:r>
        <w:t xml:space="preserve"> </w:t>
      </w:r>
      <w:r>
        <w:t xml:space="preserve">The QMO reports audit findings to the Management as part of the next Management Review.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QMO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Audit report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CAPA documentation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7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8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9"/>
    <w:bookmarkEnd w:id="3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00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s://openregulatory.com" TargetMode="External" /><Relationship Type="http://schemas.openxmlformats.org/officeDocument/2006/relationships/hyperlink" Id="rId28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7" Target="https://openregulatory.com" TargetMode="External" /><Relationship Type="http://schemas.openxmlformats.org/officeDocument/2006/relationships/hyperlink" Id="rId28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2024-06-04T04:34:34Z</dcterms:created>
  <dcterms:modified xsi:type="dcterms:W3CDTF">2024-06-04T04:34:34Z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