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6" w:name="sop-purchasing"/>
    <w:p>
      <w:pPr>
        <w:pStyle w:val="Heading1"/>
      </w:pPr>
      <w:r>
        <w:t xml:space="preserve">SOP Purchasing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 13485:2016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All</w:t>
            </w:r>
          </w:p>
        </w:tc>
      </w:tr>
    </w:tbl>
    <w:bookmarkStart w:id="20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t xml:space="preserve">This SOP describes requirements for the purchasing of goods and services by the organization. It includes</w:t>
      </w:r>
      <w:r>
        <w:t xml:space="preserve"> </w:t>
      </w:r>
      <w:r>
        <w:t xml:space="preserve">initial supplier evaluation, budget approval and continuous supplier surveillance. It ensures that only</w:t>
      </w:r>
      <w:r>
        <w:t xml:space="preserve"> </w:t>
      </w:r>
      <w:r>
        <w:t xml:space="preserve">high-quality goods and services are purchased in order to guarantee the manufacturing of high-quality products</w:t>
      </w:r>
      <w:r>
        <w:t xml:space="preserve"> </w:t>
      </w:r>
      <w:r>
        <w:t xml:space="preserve">for own customers.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2816"/>
        <w:gridCol w:w="5104"/>
      </w:tblGrid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Process Owner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&lt;enter role of process owner&gt;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Key Performance Indicators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&lt;enter KPIs to be tracked for the Management Review&gt;</w:t>
            </w:r>
          </w:p>
        </w:tc>
      </w:tr>
    </w:tbl>
    <w:bookmarkEnd w:id="20"/>
    <w:bookmarkStart w:id="25" w:name="general-considerations"/>
    <w:p>
      <w:pPr>
        <w:pStyle w:val="Heading2"/>
      </w:pPr>
      <w:r>
        <w:t xml:space="preserve">General Considerations</w:t>
      </w:r>
    </w:p>
    <w:bookmarkStart w:id="21" w:name="supplier-qualification"/>
    <w:p>
      <w:pPr>
        <w:pStyle w:val="Heading3"/>
      </w:pPr>
      <w:r>
        <w:t xml:space="preserve">1.1 Supplier Qualification</w:t>
      </w:r>
    </w:p>
    <w:p>
      <w:pPr>
        <w:pStyle w:val="FirstParagraph"/>
      </w:pPr>
      <w:r>
        <w:t xml:space="preserve">Goods and services that can impact the quality of the organization’s medical devices are only purchased from</w:t>
      </w:r>
      <w:r>
        <w:t xml:space="preserve"> </w:t>
      </w:r>
      <w:r>
        <w:t xml:space="preserve">qualified suppliers.</w:t>
      </w:r>
    </w:p>
    <w:p>
      <w:pPr>
        <w:pStyle w:val="BodyText"/>
      </w:pPr>
      <w:r>
        <w:t xml:space="preserve">Initial supplier evaluation is carried out by following the Supplier Evaluation Checklist.</w:t>
      </w:r>
    </w:p>
    <w:bookmarkEnd w:id="21"/>
    <w:bookmarkStart w:id="22" w:name="list-of-qualified-suppliers"/>
    <w:p>
      <w:pPr>
        <w:pStyle w:val="Heading3"/>
      </w:pPr>
      <w:r>
        <w:t xml:space="preserve">1.2 List of Qualified Suppliers</w:t>
      </w:r>
    </w:p>
    <w:p>
      <w:pPr>
        <w:pStyle w:val="FirstParagraph"/>
      </w:pPr>
      <w:r>
        <w:t xml:space="preserve">Suppliers which are deemed critical and which underwent initial supplier evaluation are added to the List of</w:t>
      </w:r>
      <w:r>
        <w:t xml:space="preserve"> </w:t>
      </w:r>
      <w:r>
        <w:t xml:space="preserve">Qualified Suppliers. The list is also used to document continuous supplier surveillance and the latest</w:t>
      </w:r>
      <w:r>
        <w:t xml:space="preserve"> </w:t>
      </w:r>
      <w:r>
        <w:t xml:space="preserve">evaluation status of every supplier.</w:t>
      </w:r>
    </w:p>
    <w:bookmarkEnd w:id="22"/>
    <w:bookmarkStart w:id="23" w:name="supplier-criticality"/>
    <w:p>
      <w:pPr>
        <w:pStyle w:val="Heading3"/>
      </w:pPr>
      <w:r>
        <w:t xml:space="preserve">1.3 Supplier Criticality</w:t>
      </w:r>
    </w:p>
    <w:p>
      <w:pPr>
        <w:pStyle w:val="FirstParagraph"/>
      </w:pPr>
      <w:r>
        <w:t xml:space="preserve">A supplier is classified as critical:</w:t>
      </w:r>
    </w:p>
    <w:p>
      <w:pPr>
        <w:pStyle w:val="Compact"/>
        <w:numPr>
          <w:ilvl w:val="0"/>
          <w:numId w:val="1001"/>
        </w:numPr>
      </w:pPr>
      <w:r>
        <w:t xml:space="preserve">If the purchased goods or services could have a direct impact on the safety of the organization’s medical</w:t>
      </w:r>
      <w:r>
        <w:t xml:space="preserve"> </w:t>
      </w:r>
      <w:r>
        <w:t xml:space="preserve">devices; OR:</w:t>
      </w:r>
    </w:p>
    <w:p>
      <w:pPr>
        <w:pStyle w:val="Compact"/>
        <w:numPr>
          <w:ilvl w:val="0"/>
          <w:numId w:val="1001"/>
        </w:numPr>
      </w:pPr>
      <w:r>
        <w:t xml:space="preserve">If the purchased goods or services could have a direct impact on the performance of the organization’s</w:t>
      </w:r>
      <w:r>
        <w:t xml:space="preserve"> </w:t>
      </w:r>
      <w:r>
        <w:t xml:space="preserve">medical devices; OR:</w:t>
      </w:r>
    </w:p>
    <w:p>
      <w:pPr>
        <w:pStyle w:val="Compact"/>
        <w:numPr>
          <w:ilvl w:val="0"/>
          <w:numId w:val="1001"/>
        </w:numPr>
      </w:pPr>
      <w:r>
        <w:t xml:space="preserve">If the purchased goods or services could have a direct impact on the regulatory compliance of the</w:t>
      </w:r>
      <w:r>
        <w:t xml:space="preserve"> </w:t>
      </w:r>
      <w:r>
        <w:t xml:space="preserve">organization’s medical devices; OR:</w:t>
      </w:r>
    </w:p>
    <w:p>
      <w:pPr>
        <w:pStyle w:val="Compact"/>
        <w:numPr>
          <w:ilvl w:val="0"/>
          <w:numId w:val="1001"/>
        </w:numPr>
      </w:pPr>
      <w:r>
        <w:t xml:space="preserve">If the organization is not able to manufacture its medical devices without the supplier’s goods or services;</w:t>
      </w:r>
      <w:r>
        <w:t xml:space="preserve"> </w:t>
      </w:r>
      <w:r>
        <w:t xml:space="preserve">AND:</w:t>
      </w:r>
    </w:p>
    <w:p>
      <w:pPr>
        <w:pStyle w:val="Compact"/>
        <w:numPr>
          <w:ilvl w:val="0"/>
          <w:numId w:val="1001"/>
        </w:numPr>
      </w:pPr>
      <w:r>
        <w:t xml:space="preserve">If there is no alternative and equivalent supplier for these goods or services.</w:t>
      </w:r>
    </w:p>
    <w:p>
      <w:pPr>
        <w:pStyle w:val="FirstParagraph"/>
      </w:pPr>
      <w:r>
        <w:t xml:space="preserve">If a supplier could have an</w:t>
      </w:r>
      <w:r>
        <w:t xml:space="preserve"> </w:t>
      </w:r>
      <w:r>
        <w:rPr>
          <w:i/>
          <w:iCs/>
        </w:rPr>
        <w:t xml:space="preserve">indirect impact</w:t>
      </w:r>
      <w:r>
        <w:t xml:space="preserve"> </w:t>
      </w:r>
      <w:r>
        <w:t xml:space="preserve">on the safety, performance or regulatory compliance of the</w:t>
      </w:r>
      <w:r>
        <w:t xml:space="preserve"> </w:t>
      </w:r>
      <w:r>
        <w:t xml:space="preserve">organization’s medical devices, it is up to the QMO to determine the supplier’s criticality on a case-by-case</w:t>
      </w:r>
      <w:r>
        <w:t xml:space="preserve"> </w:t>
      </w:r>
      <w:r>
        <w:t xml:space="preserve">basis depending on their impact on product safety and performance.</w:t>
      </w:r>
    </w:p>
    <w:p>
      <w:pPr>
        <w:pStyle w:val="BodyText"/>
      </w:pPr>
      <w:r>
        <w:t xml:space="preserve">A supplier is classified as non-critical if the purchased goods or services have no impact on the safety,</w:t>
      </w:r>
      <w:r>
        <w:t xml:space="preserve"> </w:t>
      </w:r>
      <w:r>
        <w:t xml:space="preserve">performance or regulatory compliance of the organization’s medical devices.</w:t>
      </w:r>
    </w:p>
    <w:bookmarkEnd w:id="23"/>
    <w:bookmarkStart w:id="24" w:name="supplier-evaluation"/>
    <w:p>
      <w:pPr>
        <w:pStyle w:val="Heading3"/>
      </w:pPr>
      <w:r>
        <w:t xml:space="preserve">1.4 Supplier Evaluation</w:t>
      </w:r>
    </w:p>
    <w:p>
      <w:pPr>
        <w:pStyle w:val="FirstParagraph"/>
      </w:pPr>
      <w:r>
        <w:t xml:space="preserve">Suppliers are evaluated according to the evaluation categories described below: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1320"/>
        <w:gridCol w:w="6600"/>
      </w:tblGrid>
      <w:tr>
        <w:tc>
          <w:tcPr/>
          <w:p>
            <w:pPr>
              <w:pStyle w:val="Compact"/>
              <w:jc w:val="left"/>
            </w:pPr>
            <w:r>
              <w:t xml:space="preserve">Quality of Products/Services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Quality is assessed based on the number of identified nonconforming purchases and reported reclamations, also taking into account delivery.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Timeliness / Punctuality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Timeliness is assessed based on the number of delayed purchases.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Cooperation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Cooperation is assessed e.g. based on the availability for follow-up questions and responses to complaints.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Payment Terms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Payment terms are assessed e.g. based on pricing and discounts, payment options, overdue fees and return policies compared to alternative suppliers.</w:t>
            </w:r>
          </w:p>
        </w:tc>
      </w:tr>
    </w:tbl>
    <w:p>
      <w:pPr>
        <w:pStyle w:val="BodyText"/>
      </w:pPr>
      <w:r>
        <w:t xml:space="preserve">Suppliers are evaluated along with these categories by assigning a score value to each category. Score values are</w:t>
      </w:r>
      <w:r>
        <w:t xml:space="preserve"> </w:t>
      </w:r>
      <w:r>
        <w:t xml:space="preserve">as follows:</w:t>
      </w:r>
    </w:p>
    <w:p>
      <w:pPr>
        <w:pStyle w:val="Compact"/>
        <w:numPr>
          <w:ilvl w:val="0"/>
          <w:numId w:val="1002"/>
        </w:numPr>
      </w:pPr>
      <w:r>
        <w:t xml:space="preserve">0: unacceptable</w:t>
      </w:r>
    </w:p>
    <w:p>
      <w:pPr>
        <w:pStyle w:val="Compact"/>
        <w:numPr>
          <w:ilvl w:val="0"/>
          <w:numId w:val="1002"/>
        </w:numPr>
      </w:pPr>
      <w:r>
        <w:t xml:space="preserve">1: moderate</w:t>
      </w:r>
    </w:p>
    <w:p>
      <w:pPr>
        <w:pStyle w:val="Compact"/>
        <w:numPr>
          <w:ilvl w:val="0"/>
          <w:numId w:val="1002"/>
        </w:numPr>
      </w:pPr>
      <w:r>
        <w:t xml:space="preserve">2: good</w:t>
      </w:r>
    </w:p>
    <w:p>
      <w:pPr>
        <w:pStyle w:val="Compact"/>
        <w:numPr>
          <w:ilvl w:val="0"/>
          <w:numId w:val="1002"/>
        </w:numPr>
      </w:pPr>
      <w:r>
        <w:t xml:space="preserve">3: excellent</w:t>
      </w:r>
    </w:p>
    <w:p>
      <w:pPr>
        <w:pStyle w:val="FirstParagraph"/>
      </w:pPr>
      <w:r>
        <w:t xml:space="preserve">In order to complete the evaluation, an average score is calculated from all categories. The quality value is</w:t>
      </w:r>
      <w:r>
        <w:t xml:space="preserve"> </w:t>
      </w:r>
      <w:r>
        <w:t xml:space="preserve">weighted double.</w:t>
      </w:r>
    </w:p>
    <w:p>
      <w:pPr>
        <w:pStyle w:val="BodyText"/>
      </w:pPr>
      <w:r>
        <w:t xml:space="preserve">The overall score results in the following evaluation outcome:</w:t>
      </w:r>
    </w:p>
    <w:p>
      <w:pPr>
        <w:pStyle w:val="Compact"/>
        <w:numPr>
          <w:ilvl w:val="0"/>
          <w:numId w:val="1003"/>
        </w:numPr>
      </w:pPr>
      <w:r>
        <w:t xml:space="preserve">Average score 2 - 3: supplier can be approved.</w:t>
      </w:r>
    </w:p>
    <w:p>
      <w:pPr>
        <w:pStyle w:val="Compact"/>
        <w:numPr>
          <w:ilvl w:val="0"/>
          <w:numId w:val="1003"/>
        </w:numPr>
      </w:pPr>
      <w:r>
        <w:t xml:space="preserve">Average score 1 - 2: supplier can be approved, provided that surveillance measures are in place (see step</w:t>
      </w:r>
      <w:r>
        <w:t xml:space="preserve"> </w:t>
      </w:r>
      <w:r>
        <w:t xml:space="preserve">2.5 of this process).</w:t>
      </w:r>
    </w:p>
    <w:p>
      <w:pPr>
        <w:pStyle w:val="Compact"/>
        <w:numPr>
          <w:ilvl w:val="0"/>
          <w:numId w:val="1003"/>
        </w:numPr>
      </w:pPr>
      <w:r>
        <w:t xml:space="preserve">Average score 0 - 1: supplier cannot be approved and is marked as blocked in the List of Qualified Suppliers.</w:t>
      </w:r>
    </w:p>
    <w:bookmarkEnd w:id="24"/>
    <w:bookmarkEnd w:id="25"/>
    <w:bookmarkStart w:id="35" w:name="process-steps"/>
    <w:p>
      <w:pPr>
        <w:pStyle w:val="Heading2"/>
      </w:pPr>
      <w:r>
        <w:t xml:space="preserve">Process Steps</w:t>
      </w:r>
    </w:p>
    <w:bookmarkStart w:id="26" w:name="preliminary-regulatory-assessment"/>
    <w:p>
      <w:pPr>
        <w:pStyle w:val="Heading3"/>
      </w:pPr>
      <w:r>
        <w:t xml:space="preserve">2.1 Preliminary Regulatory Assessment</w:t>
      </w:r>
    </w:p>
    <w:p>
      <w:pPr>
        <w:pStyle w:val="FirstParagraph"/>
      </w:pPr>
      <w:r>
        <w:t xml:space="preserve">Before purchasing any product or service, employees are required to check compatibility with the</w:t>
      </w:r>
      <w:r>
        <w:t xml:space="preserve"> </w:t>
      </w:r>
      <w:r>
        <w:t xml:space="preserve">organization’s quality standards.</w:t>
      </w:r>
    </w:p>
    <w:p>
      <w:pPr>
        <w:pStyle w:val="BodyText"/>
      </w:pPr>
      <w:r>
        <w:t xml:space="preserve">Employees therefore first check if the supplier is approved in the List of Qualified Suppliers. If it is</w:t>
      </w:r>
      <w:r>
        <w:t xml:space="preserve"> </w:t>
      </w:r>
      <w:r>
        <w:t xml:space="preserve">listed, they can continue with step 2.3.</w:t>
      </w:r>
    </w:p>
    <w:p>
      <w:pPr>
        <w:pStyle w:val="BodyText"/>
      </w:pPr>
      <w:r>
        <w:t xml:space="preserve">If the supplier is documented as blocked in the List of Qualified Suppliers, the employee looks for an</w:t>
      </w:r>
      <w:r>
        <w:t xml:space="preserve"> </w:t>
      </w:r>
      <w:r>
        <w:t xml:space="preserve">alternative supplier.</w:t>
      </w:r>
    </w:p>
    <w:p>
      <w:pPr>
        <w:pStyle w:val="BodyText"/>
      </w:pPr>
      <w:r>
        <w:t xml:space="preserve">If the supplier is not mentioned in the List of Qualified Suppliers, employees need to request regulatory</w:t>
      </w:r>
      <w:r>
        <w:t xml:space="preserve"> </w:t>
      </w:r>
      <w:r>
        <w:t xml:space="preserve">approval for the purchase from the QMO. The QMO checks the supplier’s criticality, i.e. the impact of its</w:t>
      </w:r>
      <w:r>
        <w:t xml:space="preserve"> </w:t>
      </w:r>
      <w:r>
        <w:t xml:space="preserve">goods and services on the quality of the organization’s medical devices, by reviewing against the criteria</w:t>
      </w:r>
      <w:r>
        <w:t xml:space="preserve"> </w:t>
      </w:r>
      <w:r>
        <w:t xml:space="preserve">described in section 1.3. The QMO can decide that a supplier is obviously uncritical and that no further</w:t>
      </w:r>
      <w:r>
        <w:t xml:space="preserve"> </w:t>
      </w:r>
      <w:r>
        <w:t xml:space="preserve">supplier evaluation is needed. If so, the process continues with step 2.3.</w:t>
      </w:r>
    </w:p>
    <w:p>
      <w:pPr>
        <w:pStyle w:val="BodyText"/>
      </w:pPr>
      <w:r>
        <w:t xml:space="preserve">If the supplier is not mentioned in the List of Qualified Suppliers and not deemed obviously uncritical, the</w:t>
      </w:r>
      <w:r>
        <w:t xml:space="preserve"> </w:t>
      </w:r>
      <w:r>
        <w:t xml:space="preserve">QMO first conducts an initial supplier evaluation.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1087"/>
        <w:gridCol w:w="6832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Purchasing employee</w:t>
            </w: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Preliminary regulatory assessment</w:t>
            </w:r>
            <w:r>
              <w:t xml:space="preserve">List of Qualified Suppliers</w:t>
            </w:r>
            <w:r>
              <w:t xml:space="preserve">Supplier Checklist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Regulatory approval for purchase</w:t>
            </w:r>
            <w:r>
              <w:t xml:space="preserve">or: need for initial supplier evaluation</w:t>
            </w:r>
          </w:p>
        </w:tc>
      </w:tr>
    </w:tbl>
    <w:bookmarkEnd w:id="26"/>
    <w:bookmarkStart w:id="27" w:name="initial-supplier-evaluation"/>
    <w:p>
      <w:pPr>
        <w:pStyle w:val="Heading3"/>
      </w:pPr>
      <w:r>
        <w:t xml:space="preserve">2.2 Initial Supplier Evaluation</w:t>
      </w:r>
    </w:p>
    <w:p>
      <w:pPr>
        <w:pStyle w:val="FirstParagraph"/>
      </w:pPr>
      <w:r>
        <w:t xml:space="preserve">The QMO conducts the initial supplier evaluation by completing the Supplier Checklist. They can therefore</w:t>
      </w:r>
      <w:r>
        <w:t xml:space="preserve"> </w:t>
      </w:r>
      <w:r>
        <w:t xml:space="preserve">request additional information from the supplier. Only the QMO decides on the approval of a critical supplier.</w:t>
      </w:r>
    </w:p>
    <w:p>
      <w:pPr>
        <w:pStyle w:val="BodyText"/>
      </w:pPr>
      <w:r>
        <w:t xml:space="preserve">If the supplier is deemed critical and the initial supplier evaluation is completed successfully, the supplier</w:t>
      </w:r>
      <w:r>
        <w:t xml:space="preserve"> </w:t>
      </w:r>
      <w:r>
        <w:t xml:space="preserve">is added to the List of Qualified Suppliers and the process continues with the next step. Based on the</w:t>
      </w:r>
      <w:r>
        <w:t xml:space="preserve"> </w:t>
      </w:r>
      <w:r>
        <w:t xml:space="preserve">supplier’s criticality for the quality of the organization’s medical devices, the QMO may define additional</w:t>
      </w:r>
      <w:r>
        <w:t xml:space="preserve"> </w:t>
      </w:r>
      <w:r>
        <w:t xml:space="preserve">measures for supplier surveillance which are also documented as part of the List of Qualified Suppliers.</w:t>
      </w:r>
    </w:p>
    <w:p>
      <w:pPr>
        <w:pStyle w:val="BodyText"/>
      </w:pPr>
      <w:r>
        <w:t xml:space="preserve">If the supplier is deemed critical and the evaluation is unsuccessful (meaning, the supplier cannot be</w:t>
      </w:r>
      <w:r>
        <w:t xml:space="preserve"> </w:t>
      </w:r>
      <w:r>
        <w:t xml:space="preserve">qualified for purchasing), the supplier is also added to the List of Qualified Suppliers, but marked as</w:t>
      </w:r>
      <w:r>
        <w:t xml:space="preserve"> </w:t>
      </w:r>
      <w:r>
        <w:t xml:space="preserve">blocked. In this case, the order cannot be placed and the employee looks for an alternative supplier.</w:t>
      </w:r>
    </w:p>
    <w:p>
      <w:pPr>
        <w:pStyle w:val="BodyText"/>
      </w:pPr>
      <w:r>
        <w:t xml:space="preserve">Blocked suppliers can be approved by repeating this process step and conducting a new supplier evaluation.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1036"/>
        <w:gridCol w:w="6883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Purchase need</w:t>
            </w:r>
            <w:r>
              <w:t xml:space="preserve">List of Qualified Suppliers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Completed supplier evaluation</w:t>
            </w:r>
            <w:r>
              <w:t xml:space="preserve">Updated List of Qualified Suppliers</w:t>
            </w:r>
            <w:r>
              <w:t xml:space="preserve">Regulatory approval</w:t>
            </w:r>
          </w:p>
        </w:tc>
      </w:tr>
    </w:tbl>
    <w:bookmarkEnd w:id="27"/>
    <w:bookmarkStart w:id="28" w:name="budget-approval"/>
    <w:p>
      <w:pPr>
        <w:pStyle w:val="Heading3"/>
      </w:pPr>
      <w:r>
        <w:t xml:space="preserve">2.3 Budget Approval</w:t>
      </w:r>
    </w:p>
    <w:p>
      <w:pPr>
        <w:pStyle w:val="FirstParagraph"/>
      </w:pPr>
      <w:r>
        <w:t xml:space="preserve">The employee requests their supervisor for budget approval for the respective purchase. The supervisor reviews</w:t>
      </w:r>
      <w:r>
        <w:t xml:space="preserve"> </w:t>
      </w:r>
      <w:r>
        <w:t xml:space="preserve">the purchasing costs against the organization’s budget plan and approves or denies the request. Upon approval,</w:t>
      </w:r>
      <w:r>
        <w:t xml:space="preserve"> </w:t>
      </w:r>
      <w:r>
        <w:t xml:space="preserve">the employee places the order.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Purchasing employee</w:t>
            </w:r>
            <w:r>
              <w:t xml:space="preserve">Supervisor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Documented regulatory approval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Documented budget approval</w:t>
            </w:r>
            <w:r>
              <w:t xml:space="preserve">Order placement</w:t>
            </w:r>
          </w:p>
        </w:tc>
      </w:tr>
    </w:tbl>
    <w:bookmarkEnd w:id="28"/>
    <w:bookmarkStart w:id="29" w:name="verification"/>
    <w:p>
      <w:pPr>
        <w:pStyle w:val="Heading3"/>
      </w:pPr>
      <w:r>
        <w:t xml:space="preserve">2.4 Verification</w:t>
      </w:r>
    </w:p>
    <w:p>
      <w:pPr>
        <w:pStyle w:val="FirstParagraph"/>
      </w:pPr>
      <w:r>
        <w:t xml:space="preserve">The purchasing employee verifies that the received services or goods match the order and fulfill expected</w:t>
      </w:r>
      <w:r>
        <w:t xml:space="preserve"> </w:t>
      </w:r>
      <w:r>
        <w:t xml:space="preserve">quality standards.</w:t>
      </w:r>
    </w:p>
    <w:p>
      <w:pPr>
        <w:pStyle w:val="BodyText"/>
      </w:pPr>
      <w:r>
        <w:t xml:space="preserve">In case sub-standard quality or in any other way nonconforming services or goods, the QMO is notified to</w:t>
      </w:r>
      <w:r>
        <w:t xml:space="preserve"> </w:t>
      </w:r>
      <w:r>
        <w:t xml:space="preserve">document the purchase’s effect on continuous supplier evaluation (next step). A complaint is sent to the</w:t>
      </w:r>
      <w:r>
        <w:t xml:space="preserve"> </w:t>
      </w:r>
      <w:r>
        <w:t xml:space="preserve">supplier and defective products are returned if applicable.</w:t>
      </w:r>
    </w:p>
    <w:p>
      <w:pPr>
        <w:pStyle w:val="BodyText"/>
      </w:pPr>
      <w:r>
        <w:t xml:space="preserve">Invoices and receipts are attached to expense records and archived accordingly.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815"/>
        <w:gridCol w:w="7104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Purchasing employee</w:t>
            </w: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Received services or goods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Archived reclamation records (if applicable)</w:t>
            </w:r>
            <w:r>
              <w:t xml:space="preserve">Updated List of Qualified Suppliers (if necessary)</w:t>
            </w:r>
            <w:r>
              <w:t xml:space="preserve">Invoices processed</w:t>
            </w:r>
          </w:p>
        </w:tc>
      </w:tr>
    </w:tbl>
    <w:bookmarkEnd w:id="29"/>
    <w:bookmarkStart w:id="34" w:name="supplier-surveillance"/>
    <w:p>
      <w:pPr>
        <w:pStyle w:val="Heading3"/>
      </w:pPr>
      <w:r>
        <w:t xml:space="preserve">2.5 Supplier Surveillance</w:t>
      </w:r>
    </w:p>
    <w:p>
      <w:pPr>
        <w:pStyle w:val="BlockText"/>
      </w:pPr>
      <w:r>
        <w:t xml:space="preserve">NOTE: for class II or higher, the annual re-evaluation of suppliers should be completed prior to the</w:t>
      </w:r>
      <w:r>
        <w:t xml:space="preserve"> </w:t>
      </w:r>
      <w:r>
        <w:t xml:space="preserve">Management Review.</w:t>
      </w:r>
    </w:p>
    <w:p>
      <w:pPr>
        <w:pStyle w:val="FirstParagraph"/>
      </w:pPr>
      <w:r>
        <w:t xml:space="preserve">The QMO can decide to undertake various surveillance measures such as: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Supplier Certification</w:t>
      </w:r>
      <w:r>
        <w:t xml:space="preserve">: a supplier can be requested to provide valid and ongoing certification as</w:t>
      </w:r>
      <w:r>
        <w:t xml:space="preserve"> </w:t>
      </w:r>
      <w:r>
        <w:t xml:space="preserve">proof of its quality management system’s efficacy. In this case, the QMO keeps a copy of the current</w:t>
      </w:r>
      <w:r>
        <w:t xml:space="preserve"> </w:t>
      </w:r>
      <w:r>
        <w:t xml:space="preserve">supplier certificates with the organization’s QM records. The validity of supplier certification is checked</w:t>
      </w:r>
      <w:r>
        <w:t xml:space="preserve"> </w:t>
      </w:r>
      <w:r>
        <w:t xml:space="preserve">at least once per year as part of the annual supplier evaluation.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Quality Assurance Agreement (QAA)</w:t>
      </w:r>
      <w:r>
        <w:t xml:space="preserve">: a supplier can be requested to sign a QAA as a commitment to specific</w:t>
      </w:r>
      <w:r>
        <w:t xml:space="preserve"> </w:t>
      </w:r>
      <w:r>
        <w:t xml:space="preserve">quality assurance measures.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Supplier Audits</w:t>
      </w:r>
      <w:r>
        <w:t xml:space="preserve">: supplier audits and site visits can be requested where previous supplier documentation</w:t>
      </w:r>
      <w:r>
        <w:t xml:space="preserve"> </w:t>
      </w:r>
      <w:r>
        <w:t xml:space="preserve">(records, certification) did not establish sufficient objective evidence of a supplier’s QM system efficacy</w:t>
      </w:r>
      <w:r>
        <w:t xml:space="preserve"> </w:t>
      </w:r>
      <w:r>
        <w:t xml:space="preserve">and compliance. The QMO is responsible to conduct supplier audits. As part of conducting a supplier audit,</w:t>
      </w:r>
      <w:r>
        <w:t xml:space="preserve"> </w:t>
      </w:r>
      <w:r>
        <w:t xml:space="preserve">an audit plan and audit report are created following the organization’s process for Internal</w:t>
      </w:r>
      <w:r>
        <w:t xml:space="preserve"> </w:t>
      </w:r>
      <w:r>
        <w:t xml:space="preserve">Auditing. Additionally, the QMO may decide to set up a continuous audit program for the supplier.</w:t>
      </w:r>
    </w:p>
    <w:bookmarkStart w:id="30" w:name="continuous-supplier-surveillance"/>
    <w:p>
      <w:pPr>
        <w:pStyle w:val="Heading4"/>
      </w:pPr>
      <w:r>
        <w:t xml:space="preserve">2.5.1 Continuous Supplier Surveillance</w:t>
      </w:r>
    </w:p>
    <w:p>
      <w:pPr>
        <w:pStyle w:val="FirstParagraph"/>
      </w:pPr>
      <w:r>
        <w:t xml:space="preserve">Supplier evaluations are updated continuously in the context of every new purchase, but at minimum once per</w:t>
      </w:r>
      <w:r>
        <w:t xml:space="preserve"> </w:t>
      </w:r>
      <w:r>
        <w:t xml:space="preserve">year. Surveillance measures are carried out continuously as considered appropriate and documented in the List</w:t>
      </w:r>
      <w:r>
        <w:t xml:space="preserve"> </w:t>
      </w:r>
      <w:r>
        <w:t xml:space="preserve">of Qualified Suppliers.</w:t>
      </w:r>
    </w:p>
    <w:p>
      <w:pPr>
        <w:pStyle w:val="BodyText"/>
      </w:pPr>
      <w:r>
        <w:t xml:space="preserve">Any new information about a supplier can lead to an update of the supplier’s evaluation status. Following a</w:t>
      </w:r>
      <w:r>
        <w:t xml:space="preserve"> </w:t>
      </w:r>
      <w:r>
        <w:t xml:space="preserve">decrease in a supplier’s evaluation status, the QMO can decide over appropriate measures, such as opening a</w:t>
      </w:r>
      <w:r>
        <w:t xml:space="preserve"> </w:t>
      </w:r>
      <w:r>
        <w:t xml:space="preserve">CAPA, further surveillance measures or blocking a supplier in case of a significant decrease in quality</w:t>
      </w:r>
      <w:r>
        <w:t xml:space="preserve"> </w:t>
      </w:r>
      <w:r>
        <w:t xml:space="preserve">standards. Opening a CAPA is always required in case of a decrease by one grade according to the evaluation</w:t>
      </w:r>
      <w:r>
        <w:t xml:space="preserve"> </w:t>
      </w:r>
      <w:r>
        <w:t xml:space="preserve">criteria outlined in step 1.3.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New supplier records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Updated List of Qualified Suppliers</w:t>
            </w:r>
          </w:p>
        </w:tc>
      </w:tr>
    </w:tbl>
    <w:bookmarkEnd w:id="30"/>
    <w:bookmarkStart w:id="33" w:name="annual-supplier-evaluation"/>
    <w:p>
      <w:pPr>
        <w:pStyle w:val="Heading4"/>
      </w:pPr>
      <w:r>
        <w:t xml:space="preserve">2.5.2 Annual Supplier Evaluation</w:t>
      </w:r>
    </w:p>
    <w:p>
      <w:pPr>
        <w:pStyle w:val="FirstParagraph"/>
      </w:pPr>
      <w:r>
        <w:t xml:space="preserve">At minimum once per year, the QMO reviews all available information (incl. public records such as complaints,</w:t>
      </w:r>
      <w:r>
        <w:t xml:space="preserve"> </w:t>
      </w:r>
      <w:r>
        <w:t xml:space="preserve">ratings, certificates) to update the evaluation status of suppliers listed in the List of Qualified Suppliers.</w:t>
      </w:r>
    </w:p>
    <w:p>
      <w:pPr>
        <w:pStyle w:val="BodyText"/>
      </w:pPr>
      <w:r>
        <w:t xml:space="preserve">Following a decrease in a supplier’s evaluation status, the QMO can decide over appropriate measures, such as</w:t>
      </w:r>
      <w:r>
        <w:t xml:space="preserve"> </w:t>
      </w:r>
      <w:r>
        <w:t xml:space="preserve">opening a CAPA, further surveillance measures or blocking a supplier in case of a significant decrease in</w:t>
      </w:r>
      <w:r>
        <w:t xml:space="preserve"> </w:t>
      </w:r>
      <w:r>
        <w:t xml:space="preserve">quality standards. Opening a CAPA is always required in case of a decrease by one grade according to the</w:t>
      </w:r>
      <w:r>
        <w:t xml:space="preserve"> </w:t>
      </w:r>
      <w:r>
        <w:t xml:space="preserve">evaluation criteria outlined in step 1.4.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Supplier records</w:t>
            </w:r>
            <w:r>
              <w:t xml:space="preserve">List of Qualified Suppliers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Updated List of Qualified Suppliers</w:t>
            </w: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31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32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33"/>
    <w:bookmarkEnd w:id="34"/>
    <w:bookmarkEnd w:id="35"/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1" Target="https://openregulatory.com" TargetMode="External" /><Relationship Type="http://schemas.openxmlformats.org/officeDocument/2006/relationships/hyperlink" Id="rId32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https://openregulatory.com" TargetMode="External" /><Relationship Type="http://schemas.openxmlformats.org/officeDocument/2006/relationships/hyperlink" Id="rId32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2025-01-07T08:54:04Z</dcterms:created>
  <dcterms:modified xsi:type="dcterms:W3CDTF">2025-01-07T08:54:04Z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