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3" w:name="quality-manual-policy-and-objectives"/>
    <w:p>
      <w:pPr>
        <w:pStyle w:val="Heading1"/>
      </w:pPr>
      <w:r>
        <w:t xml:space="preserve">Quality Manual, Policy and Objectives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ISO 13485:2016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4.2.1 b)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5.4.1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The Quality Manual describes the scope of the Quality Management System, its documented procedures and a</w:t>
      </w:r>
      <w:r>
        <w:t xml:space="preserve"> </w:t>
      </w:r>
      <w:r>
        <w:t xml:space="preserve">description of their interactions.</w:t>
      </w:r>
    </w:p>
    <w:bookmarkEnd w:id="20"/>
    <w:bookmarkStart w:id="24" w:name="scope"/>
    <w:p>
      <w:pPr>
        <w:pStyle w:val="Heading2"/>
      </w:pPr>
      <w:r>
        <w:t xml:space="preserve">1. Scope</w:t>
      </w:r>
    </w:p>
    <w:p>
      <w:pPr>
        <w:pStyle w:val="FirstParagraph"/>
      </w:pPr>
      <w:r>
        <w:t xml:space="preserve">The QMS described in this Quality Manual applies to all products of</w:t>
      </w:r>
      <w:r>
        <w:t xml:space="preserve"> </w:t>
      </w:r>
      <w:r>
        <w:rPr>
          <w:i/>
          <w:iCs/>
        </w:rPr>
        <w:t xml:space="preserve">&lt;your company name&gt;</w:t>
      </w:r>
      <w:r>
        <w:t xml:space="preserve">.</w:t>
      </w:r>
    </w:p>
    <w:bookmarkStart w:id="21" w:name="role-of-company"/>
    <w:p>
      <w:pPr>
        <w:pStyle w:val="Heading3"/>
      </w:pPr>
      <w:r>
        <w:t xml:space="preserve">Role of Company</w:t>
      </w:r>
    </w:p>
    <w:p>
      <w:pPr>
        <w:pStyle w:val="BlockText"/>
      </w:pPr>
      <w:r>
        <w:t xml:space="preserve">Other roles besides manufacturer are: Authorized representative, distributor.</w:t>
      </w:r>
    </w:p>
    <w:p>
      <w:pPr>
        <w:pStyle w:val="FirstParagraph"/>
      </w:pPr>
      <w:r>
        <w:rPr>
          <w:i/>
          <w:iCs/>
        </w:rPr>
        <w:t xml:space="preserve">&lt;your company name&gt;</w:t>
      </w:r>
      <w:r>
        <w:t xml:space="preserve"> </w:t>
      </w:r>
      <w:r>
        <w:t xml:space="preserve">is a manufacturer of Medical Devices.</w:t>
      </w:r>
    </w:p>
    <w:bookmarkEnd w:id="21"/>
    <w:bookmarkStart w:id="22" w:name="applicable-standards"/>
    <w:p>
      <w:pPr>
        <w:pStyle w:val="Heading3"/>
      </w:pPr>
      <w:r>
        <w:t xml:space="preserve">Applicable Standards</w:t>
      </w:r>
    </w:p>
    <w:p>
      <w:pPr>
        <w:pStyle w:val="FirstParagraph"/>
      </w:pPr>
      <w:r>
        <w:t xml:space="preserve">The following table only gives an overview of the most relevant regulation and standards. For a comprehensive overview, see the list of applicable standards (reference here).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610"/>
        <w:gridCol w:w="531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Standard / Regulation / Law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Why Applicable?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MDR (2017/745)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Regulation for all Medical Device Manufacturers in the EU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EN ISO 13485:2016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QMS required by essential requirements of MDD/MDR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EN ISO 14971:2019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management for medical devices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IEC 62304:2006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for medical devices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IEC 62366-1:2015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evaluation for medical devices</w:t>
            </w:r>
          </w:p>
        </w:tc>
      </w:tr>
    </w:tbl>
    <w:bookmarkEnd w:id="22"/>
    <w:bookmarkStart w:id="23" w:name="exclusions"/>
    <w:p>
      <w:pPr>
        <w:pStyle w:val="Heading3"/>
      </w:pPr>
      <w:r>
        <w:t xml:space="preserve">Exclusions</w:t>
      </w:r>
    </w:p>
    <w:p>
      <w:pPr>
        <w:pStyle w:val="FirstParagraph"/>
      </w:pPr>
      <w:r>
        <w:t xml:space="preserve">The following sections of ISO 13485:2016 will be excluded due to the product being stand-alone software:</w:t>
      </w:r>
    </w:p>
    <w:p>
      <w:pPr>
        <w:pStyle w:val="Compact"/>
        <w:numPr>
          <w:ilvl w:val="0"/>
          <w:numId w:val="1001"/>
        </w:numPr>
      </w:pPr>
      <w:r>
        <w:t xml:space="preserve">6.4.2 Contamination control</w:t>
      </w:r>
    </w:p>
    <w:p>
      <w:pPr>
        <w:pStyle w:val="Compact"/>
        <w:numPr>
          <w:ilvl w:val="0"/>
          <w:numId w:val="1001"/>
        </w:numPr>
      </w:pPr>
      <w:r>
        <w:t xml:space="preserve">7.5.2 Cleanliness of product</w:t>
      </w:r>
    </w:p>
    <w:p>
      <w:pPr>
        <w:pStyle w:val="Compact"/>
        <w:numPr>
          <w:ilvl w:val="0"/>
          <w:numId w:val="1001"/>
        </w:numPr>
      </w:pPr>
      <w:r>
        <w:t xml:space="preserve">7.5.5 Particular requirements for sterile medical devices</w:t>
      </w:r>
    </w:p>
    <w:p>
      <w:pPr>
        <w:pStyle w:val="Compact"/>
        <w:numPr>
          <w:ilvl w:val="0"/>
          <w:numId w:val="1001"/>
        </w:numPr>
      </w:pPr>
      <w:r>
        <w:t xml:space="preserve">7.5.7 Particular requirements for validation of processes for sterilization and sterile barrier systems</w:t>
      </w:r>
    </w:p>
    <w:p>
      <w:pPr>
        <w:pStyle w:val="Compact"/>
        <w:numPr>
          <w:ilvl w:val="0"/>
          <w:numId w:val="1001"/>
        </w:numPr>
      </w:pPr>
      <w:r>
        <w:t xml:space="preserve">7.5.9.2 Particular requirements for implantable medical devices</w:t>
      </w:r>
    </w:p>
    <w:p>
      <w:pPr>
        <w:pStyle w:val="Compact"/>
        <w:numPr>
          <w:ilvl w:val="0"/>
          <w:numId w:val="1001"/>
        </w:numPr>
      </w:pPr>
      <w:r>
        <w:t xml:space="preserve">7.5.11 Preservation of product</w:t>
      </w:r>
    </w:p>
    <w:bookmarkEnd w:id="23"/>
    <w:bookmarkEnd w:id="24"/>
    <w:bookmarkStart w:id="28" w:name="quality-policy-objectives"/>
    <w:p>
      <w:pPr>
        <w:pStyle w:val="Heading2"/>
      </w:pPr>
      <w:r>
        <w:t xml:space="preserve">2. Quality Policy &amp; Objectives</w:t>
      </w:r>
    </w:p>
    <w:bookmarkStart w:id="25" w:name="quality-policy"/>
    <w:p>
      <w:pPr>
        <w:pStyle w:val="Heading3"/>
      </w:pPr>
      <w:r>
        <w:t xml:space="preserve">Quality Policy</w:t>
      </w:r>
    </w:p>
    <w:p>
      <w:pPr>
        <w:pStyle w:val="BlockText"/>
      </w:pPr>
      <w:r>
        <w:t xml:space="preserve">Describe what your company is about, specifically, its mission and things which are important for it. Maybe</w:t>
      </w:r>
      <w:r>
        <w:t xml:space="preserve"> </w:t>
      </w:r>
      <w:r>
        <w:t xml:space="preserve">you’re developing software for patients with a certain disease and your goal is to improve their lives.</w:t>
      </w:r>
    </w:p>
    <w:p>
      <w:pPr>
        <w:pStyle w:val="BlockText"/>
      </w:pPr>
      <w:r>
        <w:t xml:space="preserve">In addition, the policy should include a commitment to meet legal requirements, keep the QMS up to date and</w:t>
      </w:r>
      <w:r>
        <w:t xml:space="preserve"> </w:t>
      </w:r>
      <w:r>
        <w:t xml:space="preserve">define quality objectives to work towards.</w:t>
      </w:r>
    </w:p>
    <w:bookmarkEnd w:id="25"/>
    <w:bookmarkStart w:id="26" w:name="quality-objectives"/>
    <w:p>
      <w:pPr>
        <w:pStyle w:val="Heading3"/>
      </w:pPr>
      <w:r>
        <w:t xml:space="preserve">Quality Objectives</w:t>
      </w:r>
    </w:p>
    <w:p>
      <w:pPr>
        <w:pStyle w:val="BlockText"/>
      </w:pPr>
      <w:r>
        <w:t xml:space="preserve">Whatever policy you outlined above, now you need to make it measurable by defining objectives which can be</w:t>
      </w:r>
      <w:r>
        <w:t xml:space="preserve"> </w:t>
      </w:r>
      <w:r>
        <w:t xml:space="preserve">tracked. Those objectives should not (only) refer to the quality of your devices but the quality of your QMS</w:t>
      </w:r>
      <w:r>
        <w:t xml:space="preserve"> </w:t>
      </w:r>
      <w:r>
        <w:t xml:space="preserve">and the overall work of your organization. Typical examples are: hiring excellence in staff, providing,</w:t>
      </w:r>
      <w:r>
        <w:t xml:space="preserve"> </w:t>
      </w:r>
      <w:r>
        <w:t xml:space="preserve">best-of-class device performance, high standards of customer satisfaction, etc.</w:t>
      </w:r>
    </w:p>
    <w:bookmarkEnd w:id="26"/>
    <w:bookmarkStart w:id="27" w:name="key-performance-indicators-kpis"/>
    <w:p>
      <w:pPr>
        <w:pStyle w:val="Heading3"/>
      </w:pPr>
      <w:r>
        <w:t xml:space="preserve">Key Performance Indicators (KPIs)</w:t>
      </w:r>
    </w:p>
    <w:p>
      <w:pPr>
        <w:pStyle w:val="BlockText"/>
      </w:pPr>
      <w:r>
        <w:t xml:space="preserve">Auditors might ask you: how do you keep track of a quality objective, to see if it was achieved or not? The</w:t>
      </w:r>
      <w:r>
        <w:t xml:space="preserve"> </w:t>
      </w:r>
      <w:r>
        <w:t xml:space="preserve">answer is: Key Performance Indicators. As part of your management review, you have to review all QMS</w:t>
      </w:r>
      <w:r>
        <w:t xml:space="preserve"> </w:t>
      </w:r>
      <w:r>
        <w:t xml:space="preserve">processes plus your quality policy and objectives at least annually. Now, you can meet both requirements at</w:t>
      </w:r>
      <w:r>
        <w:t xml:space="preserve"> </w:t>
      </w:r>
      <w:r>
        <w:t xml:space="preserve">the same time by defining KPIs for your QMS processes. You can then argue that by achieving your KPIs, you</w:t>
      </w:r>
      <w:r>
        <w:t xml:space="preserve"> </w:t>
      </w:r>
      <w:r>
        <w:t xml:space="preserve">make sure that your processes run well, which also meets your quality objectives.</w:t>
      </w:r>
    </w:p>
    <w:p>
      <w:pPr>
        <w:pStyle w:val="BlockText"/>
      </w:pPr>
      <w:r>
        <w:t xml:space="preserve">These are your action items:</w:t>
      </w:r>
      <w:r>
        <w:t xml:space="preserve"> </w:t>
      </w:r>
      <w:r>
        <w:t xml:space="preserve">1. Make sure to define at least one KPI for each QMS process.</w:t>
      </w:r>
      <w:r>
        <w:t xml:space="preserve"> </w:t>
      </w:r>
      <w:r>
        <w:t xml:space="preserve">2. Make sure each quality objectives translates into at minimum one process KPI. Where there’s no</w:t>
      </w:r>
      <w:r>
        <w:t xml:space="preserve"> </w:t>
      </w:r>
      <w:r>
        <w:t xml:space="preserve">corresponding process for a quality objective, you define additional KPIs that are not process-related.</w:t>
      </w:r>
      <w:r>
        <w:t xml:space="preserve"> </w:t>
      </w:r>
      <w:r>
        <w:t xml:space="preserve">3. You can document those KPIs either in each SOP or in a separate overview sheet. For example, you can use</w:t>
      </w:r>
      <w:r>
        <w:t xml:space="preserve"> </w:t>
      </w:r>
      <w:r>
        <w:t xml:space="preserve">the template for a management review report for that purpose.</w:t>
      </w:r>
    </w:p>
    <w:p>
      <w:pPr>
        <w:pStyle w:val="BlockText"/>
      </w:pPr>
      <w:r>
        <w:t xml:space="preserve">Also see regulatory requirements: ISO 13485, para. 4.1.3.a (process KPIs) and para. 5.6.2 (management review</w:t>
      </w:r>
      <w:r>
        <w:t xml:space="preserve"> </w:t>
      </w:r>
      <w:r>
        <w:t xml:space="preserve">input).</w:t>
      </w:r>
    </w:p>
    <w:p>
      <w:pPr>
        <w:pStyle w:val="BlockText"/>
      </w:pPr>
      <w:r>
        <w:t xml:space="preserve">In this section here, describe where you define your KPIs and how you keep track of them. For example, say</w:t>
      </w:r>
      <w:r>
        <w:t xml:space="preserve"> </w:t>
      </w:r>
      <w:r>
        <w:t xml:space="preserve">that you define KPIs in every single SOP or reference to a separate, central overview sheet. Ideally, KPIs</w:t>
      </w:r>
      <w:r>
        <w:t xml:space="preserve"> </w:t>
      </w:r>
      <w:r>
        <w:t xml:space="preserve">are tracked by each process owner independently.</w:t>
      </w:r>
    </w:p>
    <w:bookmarkEnd w:id="27"/>
    <w:bookmarkEnd w:id="28"/>
    <w:bookmarkStart w:id="29" w:name="roles"/>
    <w:p>
      <w:pPr>
        <w:pStyle w:val="Heading2"/>
      </w:pPr>
      <w:r>
        <w:t xml:space="preserve">3. Roles</w:t>
      </w:r>
    </w:p>
    <w:p>
      <w:pPr>
        <w:pStyle w:val="BlockText"/>
      </w:pPr>
      <w:r>
        <w:t xml:space="preserve">Describe the roles of the people in your company. Typically this is done by drawing an organigram (you could</w:t>
      </w:r>
      <w:r>
        <w:t xml:space="preserve"> </w:t>
      </w:r>
      <w:r>
        <w:t xml:space="preserve">use draw.io for that). Or, you just use a table like below.</w:t>
      </w:r>
    </w:p>
    <w:p>
      <w:pPr>
        <w:pStyle w:val="BlockText"/>
      </w:pPr>
      <w:r>
        <w:t xml:space="preserve">Minimum requirement information: required qualification and description of tasks related to QMS process</w:t>
      </w:r>
      <w:r>
        <w:t xml:space="preserve"> </w:t>
      </w:r>
      <w:r>
        <w:t xml:space="preserve">involvement If applicable, add: report / authority, access rights, etc.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Role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People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CEO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Steve Jobs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CTO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Steve Wozniak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Product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Ada Lovelace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Oliver Eidel</w:t>
            </w:r>
          </w:p>
        </w:tc>
      </w:tr>
    </w:tbl>
    <w:p>
      <w:pPr>
        <w:pStyle w:val="BodyText"/>
      </w:pPr>
      <w:r>
        <w:t xml:space="preserve">All C-level roles (CEO, CTO, CMO) are referred to as the Management. Management is generally responsible to</w:t>
      </w:r>
      <w:r>
        <w:t xml:space="preserve"> </w:t>
      </w:r>
      <w:r>
        <w:t xml:space="preserve">define responsibilities and authorities, to define and communicate Quality Policy and Goals and to ensure that</w:t>
      </w:r>
      <w:r>
        <w:t xml:space="preserve"> </w:t>
      </w:r>
      <w:r>
        <w:t xml:space="preserve">the whole organization is oriented towards them.</w:t>
      </w:r>
    </w:p>
    <w:p>
      <w:pPr>
        <w:pStyle w:val="BlockText"/>
      </w:pPr>
      <w:r>
        <w:t xml:space="preserve">See ISO 13485, para. 5.1, para. 5.5.1</w:t>
      </w:r>
    </w:p>
    <w:p>
      <w:pPr>
        <w:pStyle w:val="FirstParagraph"/>
      </w:pPr>
      <w:r>
        <w:t xml:space="preserve">The Quality Management Officer (QMO) is responsible for:</w:t>
      </w:r>
    </w:p>
    <w:p>
      <w:pPr>
        <w:pStyle w:val="Compact"/>
        <w:numPr>
          <w:ilvl w:val="0"/>
          <w:numId w:val="1002"/>
        </w:numPr>
      </w:pPr>
      <w:r>
        <w:t xml:space="preserve">ensuring that processes needed for the company’s quality management system are documented</w:t>
      </w:r>
    </w:p>
    <w:p>
      <w:pPr>
        <w:pStyle w:val="Compact"/>
        <w:numPr>
          <w:ilvl w:val="0"/>
          <w:numId w:val="1002"/>
        </w:numPr>
      </w:pPr>
      <w:r>
        <w:t xml:space="preserve">reporting to top management on the effectiveness of the quality management system and any need for</w:t>
      </w:r>
      <w:r>
        <w:t xml:space="preserve"> </w:t>
      </w:r>
      <w:r>
        <w:t xml:space="preserve">improvement</w:t>
      </w:r>
    </w:p>
    <w:p>
      <w:pPr>
        <w:pStyle w:val="Compact"/>
        <w:numPr>
          <w:ilvl w:val="0"/>
          <w:numId w:val="1002"/>
        </w:numPr>
      </w:pPr>
      <w:r>
        <w:t xml:space="preserve">ensuring the promotion of awareness of applicable regulatory requirements and QMS requirements throughout the</w:t>
      </w:r>
      <w:r>
        <w:t xml:space="preserve"> </w:t>
      </w:r>
      <w:r>
        <w:t xml:space="preserve">organization.</w:t>
      </w:r>
    </w:p>
    <w:p>
      <w:pPr>
        <w:pStyle w:val="FirstParagraph"/>
      </w:pPr>
      <w:r>
        <w:t xml:space="preserve">Required qualification for this role:</w:t>
      </w:r>
    </w:p>
    <w:p>
      <w:pPr>
        <w:pStyle w:val="Compact"/>
        <w:numPr>
          <w:ilvl w:val="0"/>
          <w:numId w:val="1003"/>
        </w:numPr>
      </w:pPr>
      <w:r>
        <w:t xml:space="preserve">Fluent in German and English language</w:t>
      </w:r>
    </w:p>
    <w:p>
      <w:pPr>
        <w:pStyle w:val="Compact"/>
        <w:numPr>
          <w:ilvl w:val="0"/>
          <w:numId w:val="1003"/>
        </w:numPr>
      </w:pPr>
      <w:r>
        <w:t xml:space="preserve">At minimum one year of professional experience in the fields of quality management and regulatory affairs</w:t>
      </w:r>
    </w:p>
    <w:p>
      <w:pPr>
        <w:pStyle w:val="BlockText"/>
      </w:pPr>
      <w:r>
        <w:t xml:space="preserve">See ISO 13485, para. 5.1, para. 5.5.2</w:t>
      </w:r>
    </w:p>
    <w:p>
      <w:pPr>
        <w:pStyle w:val="FirstParagraph"/>
      </w:pPr>
      <w:r>
        <w:t xml:space="preserve">Person Responsible for Regulatory Compliance (PRRC) Responsibilities of the PRRC are in accordance with</w:t>
      </w:r>
      <w:r>
        <w:t xml:space="preserve"> </w:t>
      </w:r>
      <w:r>
        <w:t xml:space="preserve">Art. 15 MDR as follows:</w:t>
      </w:r>
    </w:p>
    <w:p>
      <w:pPr>
        <w:pStyle w:val="Compact"/>
        <w:numPr>
          <w:ilvl w:val="0"/>
          <w:numId w:val="1004"/>
        </w:numPr>
      </w:pPr>
      <w:r>
        <w:t xml:space="preserve">Ensure (review / release) the conformity of the devices is appropriately checked in accordance with the QMS</w:t>
      </w:r>
      <w:r>
        <w:t xml:space="preserve"> </w:t>
      </w:r>
      <w:r>
        <w:t xml:space="preserve">before a device is released (also see Art. 10 Para. 9 MDR)</w:t>
      </w:r>
    </w:p>
    <w:p>
      <w:pPr>
        <w:pStyle w:val="Compact"/>
        <w:numPr>
          <w:ilvl w:val="0"/>
          <w:numId w:val="1004"/>
        </w:numPr>
      </w:pPr>
      <w:r>
        <w:t xml:space="preserve">Ensure (review / release) that the technical documentation and the EU declaration of conformity are drawn up</w:t>
      </w:r>
      <w:r>
        <w:t xml:space="preserve"> </w:t>
      </w:r>
      <w:r>
        <w:t xml:space="preserve">and kept up-to-date for all medical devices (also see Art. 10 Para. 4 and Art. 6 MDR)</w:t>
      </w:r>
    </w:p>
    <w:p>
      <w:pPr>
        <w:pStyle w:val="Compact"/>
        <w:numPr>
          <w:ilvl w:val="0"/>
          <w:numId w:val="1004"/>
        </w:numPr>
      </w:pPr>
      <w:r>
        <w:t xml:space="preserve">Ensure (review / release) that obligations for post-market surveillance are complied with in accordance with</w:t>
      </w:r>
      <w:r>
        <w:t xml:space="preserve"> </w:t>
      </w:r>
      <w:r>
        <w:t xml:space="preserve">Art. 10 Para. 10 MDR</w:t>
      </w:r>
    </w:p>
    <w:p>
      <w:pPr>
        <w:pStyle w:val="Compact"/>
        <w:numPr>
          <w:ilvl w:val="0"/>
          <w:numId w:val="1004"/>
        </w:numPr>
      </w:pPr>
      <w:r>
        <w:t xml:space="preserve">Ensure (review / release) that the reporting obligations of Articles 87 to 91 MDR are fulfilled (FSCA /</w:t>
      </w:r>
      <w:r>
        <w:t xml:space="preserve"> </w:t>
      </w:r>
      <w:r>
        <w:t xml:space="preserve">incidents, also see Art. 10 Para. 13 MDR)</w:t>
      </w:r>
    </w:p>
    <w:p>
      <w:pPr>
        <w:pStyle w:val="Compact"/>
        <w:numPr>
          <w:ilvl w:val="0"/>
          <w:numId w:val="1004"/>
        </w:numPr>
      </w:pPr>
      <w:r>
        <w:t xml:space="preserve">Ensure that, in the case of investigational devices, the statement referred to in Section 4.1 of Chapter II</w:t>
      </w:r>
      <w:r>
        <w:t xml:space="preserve"> </w:t>
      </w:r>
      <w:r>
        <w:t xml:space="preserve">of Annex XV MDR is issued.</w:t>
      </w:r>
    </w:p>
    <w:p>
      <w:pPr>
        <w:pStyle w:val="FirstParagraph"/>
      </w:pPr>
      <w:r>
        <w:t xml:space="preserve">The PRRC shall not be subjected to Management instructions while carrying out his/her responsibilities</w:t>
      </w:r>
      <w:r>
        <w:t xml:space="preserve"> </w:t>
      </w:r>
      <w:r>
        <w:t xml:space="preserve">specified above. His/her tasks may be delegated to other roles as long as it is ensured that final</w:t>
      </w:r>
      <w:r>
        <w:t xml:space="preserve"> </w:t>
      </w:r>
      <w:r>
        <w:t xml:space="preserve">responsibility stays with the PRRC. She or he has the power and authority to represent the company in the</w:t>
      </w:r>
      <w:r>
        <w:t xml:space="preserve"> </w:t>
      </w:r>
      <w:r>
        <w:t xml:space="preserve">scope of his/her responsibilities, e.g. in communicating with state authorities.</w:t>
      </w:r>
    </w:p>
    <w:p>
      <w:pPr>
        <w:pStyle w:val="BodyText"/>
      </w:pPr>
      <w:r>
        <w:t xml:space="preserve">Required qualification for this role:</w:t>
      </w:r>
    </w:p>
    <w:p>
      <w:pPr>
        <w:pStyle w:val="Compact"/>
        <w:numPr>
          <w:ilvl w:val="0"/>
          <w:numId w:val="1005"/>
        </w:numPr>
      </w:pPr>
      <w:r>
        <w:t xml:space="preserve">Fluent in English language</w:t>
      </w:r>
    </w:p>
    <w:p>
      <w:pPr>
        <w:pStyle w:val="Compact"/>
        <w:numPr>
          <w:ilvl w:val="0"/>
          <w:numId w:val="1005"/>
        </w:numPr>
      </w:pPr>
      <w:r>
        <w:t xml:space="preserve">Knowledge of the role and responsibilities of a</w:t>
      </w:r>
      <w:r>
        <w:t xml:space="preserve"> </w:t>
      </w:r>
      <w:r>
        <w:t xml:space="preserve">‘</w:t>
      </w:r>
      <w:r>
        <w:t xml:space="preserve">Person Responsible for Regulatory Compliance</w:t>
      </w:r>
      <w:r>
        <w:t xml:space="preserve">’</w:t>
      </w:r>
      <w:r>
        <w:t xml:space="preserve"> </w:t>
      </w:r>
      <w:r>
        <w:t xml:space="preserve">according to</w:t>
      </w:r>
      <w:r>
        <w:t xml:space="preserve"> </w:t>
      </w:r>
      <w:r>
        <w:t xml:space="preserve">Art. 15 MDR</w:t>
      </w:r>
    </w:p>
    <w:p>
      <w:pPr>
        <w:pStyle w:val="Compact"/>
        <w:numPr>
          <w:ilvl w:val="0"/>
          <w:numId w:val="1005"/>
        </w:numPr>
      </w:pPr>
      <w:r>
        <w:t xml:space="preserve">Higher education degree in law, medicine, pharmacology or engineering</w:t>
      </w:r>
    </w:p>
    <w:p>
      <w:pPr>
        <w:pStyle w:val="Compact"/>
        <w:numPr>
          <w:ilvl w:val="1"/>
          <w:numId w:val="1006"/>
        </w:numPr>
      </w:pPr>
      <w:r>
        <w:t xml:space="preserve">OR: four years of professional experience in the fields of quality management and regulatory affairs</w:t>
      </w:r>
    </w:p>
    <w:p>
      <w:pPr>
        <w:pStyle w:val="Compact"/>
        <w:numPr>
          <w:ilvl w:val="0"/>
          <w:numId w:val="1005"/>
        </w:numPr>
      </w:pPr>
      <w:r>
        <w:t xml:space="preserve">At minimum one year of professional experience in the fields of quality management and regulatory affairs</w:t>
      </w:r>
    </w:p>
    <w:bookmarkEnd w:id="29"/>
    <w:bookmarkStart w:id="32" w:name="processes"/>
    <w:p>
      <w:pPr>
        <w:pStyle w:val="Heading2"/>
      </w:pPr>
      <w:r>
        <w:t xml:space="preserve">4. Processes</w:t>
      </w:r>
    </w:p>
    <w:p>
      <w:pPr>
        <w:pStyle w:val="BlockText"/>
      </w:pPr>
      <w:r>
        <w:t xml:space="preserve">List all your SOPs here. This list is highly company-specific and might therefore be currently incomplete.</w:t>
      </w:r>
    </w:p>
    <w:p>
      <w:pPr>
        <w:pStyle w:val="BlockText"/>
      </w:pPr>
      <w:r>
        <w:rPr>
          <w:b/>
          <w:bCs/>
        </w:rPr>
        <w:t xml:space="preserve">Important Note:</w:t>
      </w:r>
    </w:p>
    <w:p>
      <w:pPr>
        <w:pStyle w:val="BlockText"/>
      </w:pPr>
      <w:r>
        <w:t xml:space="preserve">Also mention if one of these processes is outsourced to a third party (typical examples: internal auditing</w:t>
      </w:r>
      <w:r>
        <w:t xml:space="preserve"> </w:t>
      </w:r>
      <w:r>
        <w:t xml:space="preserve">or clinical evaluation done by a regulatory consultant, software development done by an external agency; see</w:t>
      </w:r>
      <w:r>
        <w:t xml:space="preserve"> </w:t>
      </w:r>
      <w:r>
        <w:t xml:space="preserve">ISO 13485:2016, para. 4.1.5 for more context).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4099"/>
        <w:gridCol w:w="1677"/>
        <w:gridCol w:w="2143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SOP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Process Category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 / Outsourced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Corrective and Preventive Action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Clinical Evaluation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Outsourced (?)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Product Certification and Registration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Change Management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Deployment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Document and Record Control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Support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Feedback Management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Internal Auditing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Outsourced (?)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Management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Post-Market Surveillance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Problem Resolution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Software Validation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Support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Update of Regulations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Support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 Vigilance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Internal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2"/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0" Target="https://openregulatory.com" TargetMode="External" /><Relationship Type="http://schemas.openxmlformats.org/officeDocument/2006/relationships/hyperlink" Id="rId3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0" Target="https://openregulatory.com" TargetMode="External" /><Relationship Type="http://schemas.openxmlformats.org/officeDocument/2006/relationships/hyperlink" Id="rId3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2024-06-04T04:34:35Z</dcterms:created>
  <dcterms:modified xsi:type="dcterms:W3CDTF">2024-06-04T04:34:35Z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