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9" w:name="X149a4863a9de756043cd5c688c7e4ef240aa900"/>
    <w:p>
      <w:pPr>
        <w:pStyle w:val="Heading1"/>
      </w:pPr>
      <w:r>
        <w:t xml:space="preserve">SOP Feedback Management and Customer Complaints</w:t>
      </w:r>
    </w:p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to respond to feedback and complaints.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p>
      <w:pPr>
        <w:pStyle w:val="BodyText"/>
      </w:pPr>
      <w:r>
        <w:rPr>
          <w:b/>
          <w:bCs/>
        </w:rPr>
        <w:t xml:space="preserve">Regulatory requirements: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227"/>
        <w:gridCol w:w="5692"/>
      </w:tblGrid>
      <w:tr>
        <w:tc>
          <w:tcPr/>
          <w:p>
            <w:pPr>
              <w:pStyle w:val="Compact"/>
              <w:jc w:val="left"/>
            </w:pPr>
            <w:r>
              <w:t xml:space="preserve">Regulation 2017/745 (MDR)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Art. 83-88 (Post-market surveillance, trend analysis and vigilance)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8.2.1 / 8.2.2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62304:2006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</w:t>
            </w:r>
          </w:p>
        </w:tc>
      </w:tr>
    </w:tbl>
    <w:bookmarkEnd w:id="20"/>
    <w:bookmarkStart w:id="22" w:name="general-considerations"/>
    <w:p>
      <w:pPr>
        <w:pStyle w:val="Heading2"/>
      </w:pPr>
      <w:r>
        <w:t xml:space="preserve">General Considerations</w:t>
      </w:r>
    </w:p>
    <w:p>
      <w:pPr>
        <w:pStyle w:val="BlockText"/>
      </w:pPr>
      <w:r>
        <w:t xml:space="preserve">In this section, provide general information about how you intend to set up your company’s feedback</w:t>
      </w:r>
      <w:r>
        <w:t xml:space="preserve"> </w:t>
      </w:r>
      <w:r>
        <w:t xml:space="preserve">management system.</w:t>
      </w:r>
    </w:p>
    <w:p>
      <w:pPr>
        <w:pStyle w:val="BlockText"/>
      </w:pPr>
      <w:r>
        <w:t xml:space="preserve">Consider sub-sections that describe more specifically:</w:t>
      </w:r>
    </w:p>
    <w:p>
      <w:pPr>
        <w:pStyle w:val="Compact"/>
        <w:numPr>
          <w:ilvl w:val="0"/>
          <w:numId w:val="1001"/>
        </w:numPr>
      </w:pPr>
      <w:r>
        <w:t xml:space="preserve">Customer support availability (typically e.g. 9am - 5pm CET Mon - Fri)</w:t>
      </w:r>
    </w:p>
    <w:p>
      <w:pPr>
        <w:pStyle w:val="Compact"/>
        <w:numPr>
          <w:ilvl w:val="0"/>
          <w:numId w:val="1001"/>
        </w:numPr>
      </w:pPr>
      <w:r>
        <w:t xml:space="preserve">Customer support ticket system (if applicable, consider GDPR requirements for sensitive data)</w:t>
      </w:r>
    </w:p>
    <w:p>
      <w:pPr>
        <w:pStyle w:val="Compact"/>
        <w:numPr>
          <w:ilvl w:val="0"/>
          <w:numId w:val="1001"/>
        </w:numPr>
      </w:pPr>
      <w:r>
        <w:t xml:space="preserve">Contact channels: describe the primary way to contact your customer support (e.g. support email address).</w:t>
      </w:r>
    </w:p>
    <w:p>
      <w:pPr>
        <w:pStyle w:val="Compact"/>
        <w:numPr>
          <w:ilvl w:val="0"/>
          <w:numId w:val="1001"/>
        </w:numPr>
      </w:pPr>
      <w:r>
        <w:t xml:space="preserve">Think about the most commonly used contact channels for your product and organization. Also consider</w:t>
      </w:r>
      <w:r>
        <w:t xml:space="preserve"> </w:t>
      </w:r>
      <w:r>
        <w:t xml:space="preserve">channels independent from internet connection. Ideally, inquiries should be responded to in the same way of</w:t>
      </w:r>
      <w:r>
        <w:t xml:space="preserve"> </w:t>
      </w:r>
      <w:r>
        <w:t xml:space="preserve">communication as they were received by.</w:t>
      </w:r>
    </w:p>
    <w:p>
      <w:pPr>
        <w:pStyle w:val="Compact"/>
        <w:numPr>
          <w:ilvl w:val="0"/>
          <w:numId w:val="1001"/>
        </w:numPr>
      </w:pPr>
      <w:r>
        <w:t xml:space="preserve">Feedback prioritization (</w:t>
      </w:r>
      <w:r>
        <w:rPr>
          <w:i/>
          <w:iCs/>
        </w:rPr>
        <w:t xml:space="preserve">optional</w:t>
      </w:r>
      <w:r>
        <w:t xml:space="preserve">, e.g. high - medium - low)</w:t>
      </w:r>
    </w:p>
    <w:bookmarkStart w:id="21" w:name="feedback-classification"/>
    <w:p>
      <w:pPr>
        <w:pStyle w:val="Heading3"/>
      </w:pPr>
      <w:r>
        <w:t xml:space="preserve">Feedback Classification</w:t>
      </w:r>
    </w:p>
    <w:p>
      <w:pPr>
        <w:pStyle w:val="FirstParagraph"/>
      </w:pPr>
      <w:r>
        <w:t xml:space="preserve">All feedback is classified into one of the following categories. If the Operations team is not sure how to</w:t>
      </w:r>
      <w:r>
        <w:t xml:space="preserve"> </w:t>
      </w:r>
      <w:r>
        <w:t xml:space="preserve">classify a ticket, it consults the QMO.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083"/>
        <w:gridCol w:w="6836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Feedback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Feedback 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Support Inquiry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request for help that can be resolved by providing the user with (usability) information.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Request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request to add, modify or remove product functionalities.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Customer Complaint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complaint that can be related to our products or organization and which is not classified as an</w:t>
            </w:r>
            <w:r>
              <w:t xml:space="preserve"> </w:t>
            </w:r>
            <w:r>
              <w:t xml:space="preserve">“</w:t>
            </w:r>
            <w:r>
              <w:t xml:space="preserve">issue with potential negative influence on patient health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Issue with potential negative influence on the state of health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customer complaint related to:</w:t>
            </w:r>
            <w:r>
              <w:t xml:space="preserve">problem with the medical device that could cause or may have caused or did in fact cause a death or serious deterioration in the state of health.</w:t>
            </w:r>
            <w:r>
              <w:t xml:space="preserve">problem with the medical device that significantly impaired the performance criteria of the device (based e.g. on the information given in the intended use, user manual or marketing material).</w:t>
            </w:r>
          </w:p>
        </w:tc>
      </w:tr>
    </w:tbl>
    <w:p>
      <w:pPr>
        <w:pStyle w:val="BlockText"/>
      </w:pPr>
      <w:r>
        <w:t xml:space="preserve">Add more categories as required by your organization. For example: positive feedback (praise), data privacy inquiries, differentiate product complaints &lt;&gt; customer complaints (not product related), etc.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792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Serious Deterioration of the State of Health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 serious deterioration of the state of health includes at least one of the following:</w:t>
            </w:r>
            <w:r>
              <w:t xml:space="preserve">life-threatening illness,</w:t>
            </w:r>
            <w:r>
              <w:t xml:space="preserve">permanent impairment of a body function or permanent damage to a body structure,</w:t>
            </w:r>
            <w:r>
              <w:t xml:space="preserve">a condition which requires medical or surgical intervention to prevent one of the above,</w:t>
            </w:r>
            <w:r>
              <w:t xml:space="preserve">any indirect harm as a consequence of an incorrect diagnostic result when used within manufacturer’s instructions for use.</w:t>
            </w:r>
          </w:p>
        </w:tc>
      </w:tr>
    </w:tbl>
    <w:bookmarkEnd w:id="21"/>
    <w:bookmarkEnd w:id="22"/>
    <w:bookmarkStart w:id="28" w:name="process-steps"/>
    <w:p>
      <w:pPr>
        <w:pStyle w:val="Heading2"/>
      </w:pPr>
      <w:r>
        <w:t xml:space="preserve">Process Steps</w:t>
      </w:r>
    </w:p>
    <w:bookmarkStart w:id="23" w:name="documentation-of-feedback"/>
    <w:p>
      <w:pPr>
        <w:pStyle w:val="Heading3"/>
      </w:pPr>
      <w:r>
        <w:t xml:space="preserve">1. Documentation of Feedback</w:t>
      </w:r>
    </w:p>
    <w:p>
      <w:pPr>
        <w:pStyle w:val="FirstParagraph"/>
      </w:pPr>
      <w:r>
        <w:t xml:space="preserve">The Operations team receives feedback through a contact channel, which automatically opens a respective ticket</w:t>
      </w:r>
      <w:r>
        <w:t xml:space="preserve"> </w:t>
      </w:r>
      <w:r>
        <w:t xml:space="preserve">in our system (see general considerations above). Based on the input, the Operations team then documents at</w:t>
      </w:r>
      <w:r>
        <w:t xml:space="preserve"> </w:t>
      </w:r>
      <w:r>
        <w:t xml:space="preserve">minimum the following information in the ticket:</w:t>
      </w:r>
    </w:p>
    <w:p>
      <w:pPr>
        <w:pStyle w:val="Compact"/>
        <w:numPr>
          <w:ilvl w:val="0"/>
          <w:numId w:val="1002"/>
        </w:numPr>
      </w:pPr>
      <w:r>
        <w:t xml:space="preserve">Date of feedback</w:t>
      </w:r>
    </w:p>
    <w:p>
      <w:pPr>
        <w:pStyle w:val="Compact"/>
        <w:numPr>
          <w:ilvl w:val="0"/>
          <w:numId w:val="1002"/>
        </w:numPr>
      </w:pPr>
      <w:r>
        <w:t xml:space="preserve">Description of the issue (e.g. software version, runtime environment, if available: screenshots / images)</w:t>
      </w:r>
    </w:p>
    <w:p>
      <w:pPr>
        <w:pStyle w:val="Compact"/>
        <w:numPr>
          <w:ilvl w:val="0"/>
          <w:numId w:val="1002"/>
        </w:numPr>
      </w:pPr>
      <w:r>
        <w:t xml:space="preserve">Affected users, contact details and customer locations</w:t>
      </w:r>
    </w:p>
    <w:p>
      <w:pPr>
        <w:pStyle w:val="Compact"/>
        <w:numPr>
          <w:ilvl w:val="0"/>
          <w:numId w:val="1002"/>
        </w:numPr>
      </w:pPr>
      <w:r>
        <w:t xml:space="preserve">Steps to reproduce the problem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Received feedback / complaint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Structured documentation of feedback in ticket system</w:t>
            </w:r>
          </w:p>
        </w:tc>
      </w:tr>
    </w:tbl>
    <w:bookmarkEnd w:id="23"/>
    <w:bookmarkStart w:id="24" w:name="evaluation-of-feedback"/>
    <w:p>
      <w:pPr>
        <w:pStyle w:val="Heading3"/>
      </w:pPr>
      <w:r>
        <w:t xml:space="preserve">2. Evaluation of Feedback</w:t>
      </w:r>
    </w:p>
    <w:p>
      <w:pPr>
        <w:pStyle w:val="FirstParagraph"/>
      </w:pPr>
      <w:r>
        <w:t xml:space="preserve">The Operations team classifies the feedback according to the categories outlined in the general considerations</w:t>
      </w:r>
      <w:r>
        <w:t xml:space="preserve"> </w:t>
      </w:r>
      <w:r>
        <w:t xml:space="preserve">of this process. Depending on the feedback category it takes respective actions:</w:t>
      </w:r>
    </w:p>
    <w:p>
      <w:pPr>
        <w:pStyle w:val="BodyText"/>
      </w:pPr>
      <w:r>
        <w:rPr>
          <w:b/>
          <w:bCs/>
        </w:rPr>
        <w:t xml:space="preserve">Support Inquiry:</w:t>
      </w:r>
    </w:p>
    <w:p>
      <w:pPr>
        <w:pStyle w:val="BodyText"/>
      </w:pPr>
      <w:r>
        <w:t xml:space="preserve">The Operations team actively supports the customer / user in solving the issue by answering questions or</w:t>
      </w:r>
      <w:r>
        <w:t xml:space="preserve"> </w:t>
      </w:r>
      <w:r>
        <w:t xml:space="preserve">providing additional user training.</w:t>
      </w:r>
    </w:p>
    <w:p>
      <w:pPr>
        <w:pStyle w:val="BodyText"/>
      </w:pPr>
      <w:r>
        <w:rPr>
          <w:b/>
          <w:bCs/>
        </w:rPr>
        <w:t xml:space="preserve">Change Request:</w:t>
      </w:r>
    </w:p>
    <w:p>
      <w:pPr>
        <w:pStyle w:val="BodyText"/>
      </w:pPr>
      <w:r>
        <w:t xml:space="preserve">The feedback ticket is forwarded to the Product team to decide over implementation and potentially initiate the change management process.</w:t>
      </w:r>
    </w:p>
    <w:p>
      <w:pPr>
        <w:pStyle w:val="BodyText"/>
      </w:pPr>
      <w:r>
        <w:rPr>
          <w:b/>
          <w:bCs/>
        </w:rPr>
        <w:t xml:space="preserve">Customer Complaint:</w:t>
      </w:r>
    </w:p>
    <w:p>
      <w:pPr>
        <w:pStyle w:val="Compact"/>
        <w:numPr>
          <w:ilvl w:val="0"/>
          <w:numId w:val="1003"/>
        </w:numPr>
      </w:pPr>
      <w:r>
        <w:t xml:space="preserve">If the customer complaint constitutes a persistent problem related to a medical device that cannot be</w:t>
      </w:r>
      <w:r>
        <w:t xml:space="preserve"> </w:t>
      </w:r>
      <w:r>
        <w:t xml:space="preserve">resolved by providing user information or training (e.g. software bugs), it is forwarded to the Product team</w:t>
      </w:r>
      <w:r>
        <w:t xml:space="preserve"> </w:t>
      </w:r>
      <w:r>
        <w:t xml:space="preserve">to initiate the problem resolution process.</w:t>
      </w:r>
    </w:p>
    <w:p>
      <w:pPr>
        <w:pStyle w:val="Compact"/>
        <w:numPr>
          <w:ilvl w:val="0"/>
          <w:numId w:val="1003"/>
        </w:numPr>
      </w:pPr>
      <w:r>
        <w:t xml:space="preserve">If the customer complaint is related to an organizational issue (e.g. sales and marketing efforts), the</w:t>
      </w:r>
      <w:r>
        <w:t xml:space="preserve"> </w:t>
      </w:r>
      <w:r>
        <w:t xml:space="preserve">Operations team involves other teams of the organization where necessary to provide the customer / user with</w:t>
      </w:r>
      <w:r>
        <w:t xml:space="preserve"> </w:t>
      </w:r>
      <w:r>
        <w:t xml:space="preserve">a satisfactory response.</w:t>
      </w:r>
    </w:p>
    <w:p>
      <w:pPr>
        <w:pStyle w:val="Compact"/>
        <w:numPr>
          <w:ilvl w:val="0"/>
          <w:numId w:val="1003"/>
        </w:numPr>
      </w:pPr>
      <w:r>
        <w:t xml:space="preserve">If the customer complaint may constitute a systematic issue, the feedback is additionally forwarded to the</w:t>
      </w:r>
      <w:r>
        <w:t xml:space="preserve"> </w:t>
      </w:r>
      <w:r>
        <w:t xml:space="preserve">Quality Management Officer (QMO) to initiate the process for corrective and preventive actions (CAPA).</w:t>
      </w:r>
    </w:p>
    <w:p>
      <w:pPr>
        <w:pStyle w:val="FirstParagraph"/>
      </w:pPr>
      <w:r>
        <w:rPr>
          <w:b/>
          <w:bCs/>
        </w:rPr>
        <w:t xml:space="preserve">Issue with a Potential Negative Impact on the State of Health:</w:t>
      </w:r>
    </w:p>
    <w:p>
      <w:pPr>
        <w:pStyle w:val="BodyText"/>
      </w:pPr>
      <w:r>
        <w:t xml:space="preserve">All issues with a potential negative impact on the state of health must be reported immediately, but no later</w:t>
      </w:r>
      <w:r>
        <w:t xml:space="preserve"> </w:t>
      </w:r>
      <w:r>
        <w:t xml:space="preserve">than on the same day, to the Person Responsible for Regulatory Compliance (PRRC) to initiate the SOP Vigilance.</w:t>
      </w:r>
    </w:p>
    <w:p>
      <w:pPr>
        <w:pStyle w:val="BodyText"/>
      </w:pPr>
      <w:r>
        <w:t xml:space="preserve">All product-related feedback shall be checked for a potential impact on:</w:t>
      </w:r>
    </w:p>
    <w:p>
      <w:pPr>
        <w:pStyle w:val="Compact"/>
        <w:numPr>
          <w:ilvl w:val="0"/>
          <w:numId w:val="1004"/>
        </w:numPr>
      </w:pPr>
      <w:r>
        <w:t xml:space="preserve">product requirements for the respective device;</w:t>
      </w:r>
    </w:p>
    <w:p>
      <w:pPr>
        <w:pStyle w:val="Compact"/>
        <w:numPr>
          <w:ilvl w:val="0"/>
          <w:numId w:val="1004"/>
        </w:numPr>
      </w:pPr>
      <w:r>
        <w:t xml:space="preserve">the post-market surveillance for the respective device, including trend analysis (see Art. 83 and 88 MDR);</w:t>
      </w:r>
    </w:p>
    <w:p>
      <w:pPr>
        <w:pStyle w:val="Compact"/>
        <w:numPr>
          <w:ilvl w:val="0"/>
          <w:numId w:val="1004"/>
        </w:numPr>
      </w:pPr>
      <w:r>
        <w:t xml:space="preserve">the device risk management file.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Documented feedback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Classified feedback and decision on actions</w:t>
            </w:r>
          </w:p>
        </w:tc>
      </w:tr>
    </w:tbl>
    <w:bookmarkEnd w:id="24"/>
    <w:bookmarkStart w:id="27" w:name="validation-of-actions"/>
    <w:p>
      <w:pPr>
        <w:pStyle w:val="Heading3"/>
      </w:pPr>
      <w:r>
        <w:t xml:space="preserve">3. Validation of Actions</w:t>
      </w:r>
    </w:p>
    <w:p>
      <w:pPr>
        <w:pStyle w:val="FirstParagraph"/>
      </w:pPr>
      <w:r>
        <w:t xml:space="preserve">The Operations team proactively receives updates regarding the status of actions per ticket from other teams.</w:t>
      </w:r>
    </w:p>
    <w:p>
      <w:pPr>
        <w:pStyle w:val="BodyText"/>
      </w:pPr>
      <w:r>
        <w:t xml:space="preserve">Once the actions are considered completed (e.g. for change requests: decision to implement a feature or not is</w:t>
      </w:r>
      <w:r>
        <w:t xml:space="preserve"> </w:t>
      </w:r>
      <w:r>
        <w:t xml:space="preserve">made), the Operations team informs the customer / user and validates if the actions taken are satisfying. If</w:t>
      </w:r>
      <w:r>
        <w:t xml:space="preserve"> </w:t>
      </w:r>
      <w:r>
        <w:t xml:space="preserve">so, the validation is documented in the ticket and the ticket is closed. If not, this process is re-initiated.</w:t>
      </w:r>
    </w:p>
    <w:p>
      <w:pPr>
        <w:pStyle w:val="BodyText"/>
      </w:pPr>
      <w:r>
        <w:t xml:space="preserve">If a customer / user does not respond, validation is tried at least a second time before the ticket is closed.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Implemented actions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Validation of actions, ticket is closed</w:t>
            </w:r>
          </w:p>
        </w:tc>
      </w:tr>
    </w:tbl>
    <w:p>
      <w:pPr>
        <w:pStyle w:val="BlockText"/>
      </w:pPr>
      <w:r>
        <w:t xml:space="preserve">Optionally, depending on the features that your ticket system provides, consider adding a process step to</w:t>
      </w:r>
      <w:r>
        <w:t xml:space="preserve"> </w:t>
      </w:r>
      <w:r>
        <w:t xml:space="preserve">assign each ticket a status (open, pending input, closed).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7"/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