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6975"/>
        <w:gridCol w:w="944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Regulatory Requirement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 Section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MDR Annex I (General Safety and Performance Requirements), Annex IV (EU Declaration of Conformity), Art. 27, 29, 31 (UDI / Eudamed)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All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MPDG §8, §96, §97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All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ISO 13485:2015, Sections 4.2.3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All</w:t>
            </w:r>
          </w:p>
        </w:tc>
      </w:tr>
    </w:tbl>
    <w:bookmarkStart w:id="20" w:name="summary"/>
    <w:p>
      <w:pPr>
        <w:pStyle w:val="Heading2"/>
      </w:pPr>
      <w:r>
        <w:t xml:space="preserve">Summary</w:t>
      </w:r>
    </w:p>
    <w:p>
      <w:pPr>
        <w:pStyle w:val="FirstParagraph"/>
      </w:pPr>
      <w:r>
        <w:t xml:space="preserve">This SOP describes how a medical device is brought to the market while observing applicable regulatory</w:t>
      </w:r>
      <w:r>
        <w:t xml:space="preserve"> </w:t>
      </w:r>
      <w:r>
        <w:t xml:space="preserve">requirements, including the compilation of a Technical Documentation and issuing a EU Declaration of</w:t>
      </w:r>
      <w:r>
        <w:t xml:space="preserve"> </w:t>
      </w:r>
      <w:r>
        <w:t xml:space="preserve">Conformity for the medical device.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2816"/>
        <w:gridCol w:w="5104"/>
      </w:tblGrid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Process Owner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i/>
                <w:iCs/>
              </w:rPr>
              <w:t xml:space="preserve">&lt;enter role of process owner&gt;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Key Performance Indicators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i/>
                <w:iCs/>
              </w:rPr>
              <w:t xml:space="preserve">&lt;enter KPIs to be tracked for the Management Review&gt;</w:t>
            </w:r>
          </w:p>
        </w:tc>
      </w:tr>
    </w:tbl>
    <w:bookmarkEnd w:id="20"/>
    <w:bookmarkStart w:id="27" w:name="process-steps"/>
    <w:p>
      <w:pPr>
        <w:pStyle w:val="Heading2"/>
      </w:pPr>
      <w:r>
        <w:t xml:space="preserve">Process Steps</w:t>
      </w:r>
    </w:p>
    <w:bookmarkStart w:id="21" w:name="X58541cef6a22b1026daf0a645109afdfcf21f6c"/>
    <w:p>
      <w:pPr>
        <w:pStyle w:val="Heading3"/>
      </w:pPr>
      <w:r>
        <w:t xml:space="preserve">1. Decision on New or Revised Medical Device</w:t>
      </w:r>
    </w:p>
    <w:p>
      <w:pPr>
        <w:pStyle w:val="FirstParagraph"/>
      </w:pPr>
      <w:r>
        <w:t xml:space="preserve">This process is initiated once the Management decides to place a new or updated medical device on the</w:t>
      </w:r>
      <w:r>
        <w:t xml:space="preserve"> </w:t>
      </w:r>
      <w:r>
        <w:t xml:space="preserve">market. Business input could be:</w:t>
      </w:r>
    </w:p>
    <w:p>
      <w:pPr>
        <w:pStyle w:val="Compact"/>
        <w:numPr>
          <w:ilvl w:val="0"/>
          <w:numId w:val="1001"/>
        </w:numPr>
      </w:pPr>
      <w:r>
        <w:t xml:space="preserve">Conversations with prospective customers</w:t>
      </w:r>
    </w:p>
    <w:p>
      <w:pPr>
        <w:pStyle w:val="Compact"/>
        <w:numPr>
          <w:ilvl w:val="0"/>
          <w:numId w:val="1001"/>
        </w:numPr>
      </w:pPr>
      <w:r>
        <w:t xml:space="preserve">Market opportunities</w:t>
      </w:r>
    </w:p>
    <w:p>
      <w:pPr>
        <w:pStyle w:val="Compact"/>
        <w:numPr>
          <w:ilvl w:val="0"/>
          <w:numId w:val="1001"/>
        </w:numPr>
      </w:pPr>
      <w:r>
        <w:t xml:space="preserve">Internal ideas</w:t>
      </w:r>
    </w:p>
    <w:p>
      <w:pPr>
        <w:pStyle w:val="FirstParagraph"/>
      </w:pPr>
      <w:r>
        <w:t xml:space="preserve">If applicable, a responsible Product Manager for a new device is appointed. Together with the QMO, they</w:t>
      </w:r>
      <w:r>
        <w:t xml:space="preserve"> </w:t>
      </w:r>
      <w:r>
        <w:t xml:space="preserve">determine the classification of a new device as part of the MDR Classification document.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Participants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Management, Product Manager, QMO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Management decision on new device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Completed medical device classification</w:t>
            </w:r>
          </w:p>
        </w:tc>
      </w:tr>
    </w:tbl>
    <w:bookmarkEnd w:id="21"/>
    <w:bookmarkStart w:id="22" w:name="Xa0845cbb127a44a66f4d9fd7a10e6c264143feb"/>
    <w:p>
      <w:pPr>
        <w:pStyle w:val="Heading3"/>
      </w:pPr>
      <w:r>
        <w:t xml:space="preserve">2. Application for Conformity Assessment by Notified Body</w:t>
      </w:r>
    </w:p>
    <w:p>
      <w:pPr>
        <w:pStyle w:val="FirstParagraph"/>
      </w:pPr>
      <w:r>
        <w:t xml:space="preserve">If necessary based on the medical device classification, a Notified Body is involved for the conformity</w:t>
      </w:r>
      <w:r>
        <w:t xml:space="preserve"> </w:t>
      </w:r>
      <w:r>
        <w:t xml:space="preserve">assessment for the new device.</w:t>
      </w:r>
    </w:p>
    <w:p>
      <w:pPr>
        <w:pStyle w:val="BlockText"/>
      </w:pPr>
      <w:r>
        <w:t xml:space="preserve">NOTE: a Notified Body must be involved in the conformity assessment of all medical devices except for class I.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Participants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Product Manager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Medical device classification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Contract with Notified Body</w:t>
            </w:r>
          </w:p>
        </w:tc>
      </w:tr>
    </w:tbl>
    <w:bookmarkEnd w:id="22"/>
    <w:bookmarkStart w:id="23" w:name="Xaf751d9b0ad8ab8c59f2d69d71ce9b882664883"/>
    <w:p>
      <w:pPr>
        <w:pStyle w:val="Heading3"/>
      </w:pPr>
      <w:r>
        <w:t xml:space="preserve">3. Compilation of Technical Documentation and Declaration of Conformity</w:t>
      </w:r>
    </w:p>
    <w:p>
      <w:pPr>
        <w:pStyle w:val="FirstParagraph"/>
      </w:pPr>
      <w:r>
        <w:t xml:space="preserve">The technical documentation for the medical device is compiled by following respective processes for</w:t>
      </w:r>
      <w:r>
        <w:t xml:space="preserve"> </w:t>
      </w:r>
      <w:r>
        <w:t xml:space="preserve">development (e.g. software development, risk management, usability testing). The Product Manager is</w:t>
      </w:r>
      <w:r>
        <w:t xml:space="preserve"> </w:t>
      </w:r>
      <w:r>
        <w:t xml:space="preserve">responsible to coordinate this process step with all relevant members of the organization. Documentation for</w:t>
      </w:r>
      <w:r>
        <w:t xml:space="preserve"> </w:t>
      </w:r>
      <w:r>
        <w:t xml:space="preserve">different versions of the device is kept separate.</w:t>
      </w:r>
    </w:p>
    <w:p>
      <w:pPr>
        <w:pStyle w:val="BodyText"/>
      </w:pPr>
      <w:r>
        <w:t xml:space="preserve">The Product Manager maintains a Medical Devices List according to MDR Annex II Sec 1.2 that provides an</w:t>
      </w:r>
      <w:r>
        <w:t xml:space="preserve"> </w:t>
      </w:r>
      <w:r>
        <w:t xml:space="preserve">overview of:</w:t>
      </w:r>
    </w:p>
    <w:p>
      <w:pPr>
        <w:pStyle w:val="Compact"/>
        <w:numPr>
          <w:ilvl w:val="0"/>
          <w:numId w:val="1002"/>
        </w:numPr>
      </w:pPr>
      <w:r>
        <w:t xml:space="preserve">Installed product versions per customer site (if applicable)</w:t>
      </w:r>
    </w:p>
    <w:p>
      <w:pPr>
        <w:pStyle w:val="Compact"/>
        <w:numPr>
          <w:ilvl w:val="0"/>
          <w:numId w:val="1002"/>
        </w:numPr>
      </w:pPr>
      <w:r>
        <w:t xml:space="preserve">Previous device versions, incl. release and decommissioning date</w:t>
      </w:r>
    </w:p>
    <w:p>
      <w:pPr>
        <w:pStyle w:val="Compact"/>
        <w:numPr>
          <w:ilvl w:val="0"/>
          <w:numId w:val="1002"/>
        </w:numPr>
      </w:pPr>
      <w:r>
        <w:t xml:space="preserve">Similar devices</w:t>
      </w:r>
    </w:p>
    <w:p>
      <w:pPr>
        <w:pStyle w:val="FirstParagraph"/>
      </w:pPr>
      <w:r>
        <w:t xml:space="preserve">Prior to submission to the Notified Body for conformity assessment (if applicable), the QMO checks the</w:t>
      </w:r>
      <w:r>
        <w:t xml:space="preserve"> </w:t>
      </w:r>
      <w:r>
        <w:t xml:space="preserve">documentation for completeness according to the stipulations listed below. Compliance with EU legislation is</w:t>
      </w:r>
      <w:r>
        <w:t xml:space="preserve"> </w:t>
      </w:r>
      <w:r>
        <w:t xml:space="preserve">documented in the MDR General Safety and Performance Requirements Checklist.</w:t>
      </w:r>
    </w:p>
    <w:p>
      <w:pPr>
        <w:pStyle w:val="Compact"/>
        <w:numPr>
          <w:ilvl w:val="0"/>
          <w:numId w:val="1003"/>
        </w:numPr>
      </w:pPr>
      <w:r>
        <w:t xml:space="preserve">MDR General Safety and Performance Requirements (Annex I)</w:t>
      </w:r>
    </w:p>
    <w:p>
      <w:pPr>
        <w:pStyle w:val="Compact"/>
        <w:numPr>
          <w:ilvl w:val="0"/>
          <w:numId w:val="1003"/>
        </w:numPr>
      </w:pPr>
      <w:r>
        <w:t xml:space="preserve">MDR EU Declaration of Conformity (Annex IV)</w:t>
      </w:r>
    </w:p>
    <w:p>
      <w:pPr>
        <w:pStyle w:val="FirstParagraph"/>
      </w:pPr>
      <w:r>
        <w:t xml:space="preserve">After successful approval by the Notified Body, the Management signs the declaration of conformity. A product</w:t>
      </w:r>
      <w:r>
        <w:t xml:space="preserve"> </w:t>
      </w:r>
      <w:r>
        <w:t xml:space="preserve">(version) is considered released and placed on the market with the release of its declaration of conformity.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815"/>
        <w:gridCol w:w="7104"/>
      </w:tblGrid>
      <w:tr>
        <w:tc>
          <w:tcPr/>
          <w:p>
            <w:pPr>
              <w:pStyle w:val="Compact"/>
              <w:jc w:val="left"/>
            </w:pPr>
            <w:r>
              <w:t xml:space="preserve">Participants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Product Manager, QMO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Technical documentation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Approval by Notified Body</w:t>
            </w:r>
            <w:r>
              <w:t xml:space="preserve">Signed EU Declaration of Conformity</w:t>
            </w:r>
            <w:r>
              <w:t xml:space="preserve">Updated List of Medical Devices and Product Versions</w:t>
            </w:r>
          </w:p>
        </w:tc>
      </w:tr>
    </w:tbl>
    <w:bookmarkEnd w:id="23"/>
    <w:bookmarkStart w:id="26" w:name="registration-of-medical-device-udi"/>
    <w:p>
      <w:pPr>
        <w:pStyle w:val="Heading3"/>
      </w:pPr>
      <w:r>
        <w:t xml:space="preserve">4. Registration of Medical Device (UDI)</w:t>
      </w:r>
    </w:p>
    <w:p>
      <w:pPr>
        <w:pStyle w:val="FirstParagraph"/>
      </w:pPr>
      <w:r>
        <w:t xml:space="preserve">Country-specific requirements for registration are observed before making a new medical device (version)</w:t>
      </w:r>
      <w:r>
        <w:t xml:space="preserve"> </w:t>
      </w:r>
      <w:r>
        <w:t xml:space="preserve">available in a market. For the European market, the Product Manager follows the requirements set out in</w:t>
      </w:r>
      <w:r>
        <w:t xml:space="preserve"> </w:t>
      </w:r>
      <w:r>
        <w:t xml:space="preserve">Art. 29 and Annex VI MDR by registering the device’s Unique Device Identifier (UDI) in the European Database</w:t>
      </w:r>
      <w:r>
        <w:t xml:space="preserve"> </w:t>
      </w:r>
      <w:r>
        <w:t xml:space="preserve">for Medical Devices (Eudamed).</w:t>
      </w:r>
    </w:p>
    <w:p>
      <w:pPr>
        <w:pStyle w:val="BodyText"/>
      </w:pPr>
      <w:r>
        <w:t xml:space="preserve">For the implementation of product changes, the Product Manager applies for a new UDI-DI if the changes entail</w:t>
      </w:r>
      <w:r>
        <w:t xml:space="preserve"> </w:t>
      </w:r>
      <w:r>
        <w:t xml:space="preserve">one of the following:</w:t>
      </w:r>
    </w:p>
    <w:p>
      <w:pPr>
        <w:pStyle w:val="Compact"/>
        <w:numPr>
          <w:ilvl w:val="0"/>
          <w:numId w:val="1004"/>
        </w:numPr>
      </w:pPr>
      <w:r>
        <w:t xml:space="preserve">A significant change based on the Change Evaluation List</w:t>
      </w:r>
    </w:p>
    <w:p>
      <w:pPr>
        <w:pStyle w:val="Compact"/>
        <w:numPr>
          <w:ilvl w:val="0"/>
          <w:numId w:val="1004"/>
        </w:numPr>
      </w:pPr>
      <w:r>
        <w:t xml:space="preserve">Changed intended use</w:t>
      </w:r>
    </w:p>
    <w:p>
      <w:pPr>
        <w:pStyle w:val="Compact"/>
        <w:numPr>
          <w:ilvl w:val="0"/>
          <w:numId w:val="1004"/>
        </w:numPr>
      </w:pPr>
      <w:r>
        <w:t xml:space="preserve">New product features</w:t>
      </w:r>
    </w:p>
    <w:p>
      <w:pPr>
        <w:pStyle w:val="Compact"/>
        <w:numPr>
          <w:ilvl w:val="0"/>
          <w:numId w:val="1004"/>
        </w:numPr>
      </w:pPr>
      <w:r>
        <w:t xml:space="preserve">Changes in product interoperability, new interface or connected systems</w:t>
      </w:r>
    </w:p>
    <w:p>
      <w:pPr>
        <w:pStyle w:val="Compact"/>
        <w:numPr>
          <w:ilvl w:val="0"/>
          <w:numId w:val="1004"/>
        </w:numPr>
      </w:pPr>
      <w:r>
        <w:t xml:space="preserve">Non-trivial change to the user interface</w:t>
      </w:r>
    </w:p>
    <w:p>
      <w:pPr>
        <w:pStyle w:val="Compact"/>
        <w:numPr>
          <w:ilvl w:val="0"/>
          <w:numId w:val="1004"/>
        </w:numPr>
      </w:pPr>
      <w:r>
        <w:t xml:space="preserve">New supported operating system</w:t>
      </w:r>
    </w:p>
    <w:p>
      <w:pPr>
        <w:pStyle w:val="Compact"/>
        <w:numPr>
          <w:ilvl w:val="0"/>
          <w:numId w:val="1004"/>
        </w:numPr>
      </w:pPr>
      <w:r>
        <w:t xml:space="preserve">New programming language</w:t>
      </w:r>
    </w:p>
    <w:p>
      <w:pPr>
        <w:pStyle w:val="Compact"/>
        <w:numPr>
          <w:ilvl w:val="0"/>
          <w:numId w:val="1004"/>
        </w:numPr>
      </w:pPr>
      <w:r>
        <w:t xml:space="preserve">New algorithm model</w:t>
      </w:r>
    </w:p>
    <w:p>
      <w:pPr>
        <w:pStyle w:val="Compact"/>
        <w:numPr>
          <w:ilvl w:val="0"/>
          <w:numId w:val="1004"/>
        </w:numPr>
      </w:pPr>
      <w:r>
        <w:t xml:space="preserve">Non-trivial change to the software or database architecture</w:t>
      </w:r>
    </w:p>
    <w:p>
      <w:pPr>
        <w:pStyle w:val="FirstParagraph"/>
      </w:pPr>
      <w:r>
        <w:t xml:space="preserve">The Product Manager assigns a new UDI-PI for modifications such as:</w:t>
      </w:r>
    </w:p>
    <w:p>
      <w:pPr>
        <w:pStyle w:val="Compact"/>
        <w:numPr>
          <w:ilvl w:val="0"/>
          <w:numId w:val="1005"/>
        </w:numPr>
      </w:pPr>
      <w:r>
        <w:t xml:space="preserve">Bug fixes</w:t>
      </w:r>
    </w:p>
    <w:p>
      <w:pPr>
        <w:pStyle w:val="Compact"/>
        <w:numPr>
          <w:ilvl w:val="0"/>
          <w:numId w:val="1005"/>
        </w:numPr>
      </w:pPr>
      <w:r>
        <w:t xml:space="preserve">Security patches</w:t>
      </w:r>
    </w:p>
    <w:p>
      <w:pPr>
        <w:pStyle w:val="Compact"/>
        <w:numPr>
          <w:ilvl w:val="0"/>
          <w:numId w:val="1005"/>
        </w:numPr>
      </w:pPr>
      <w:r>
        <w:t xml:space="preserve">User interfaces (limited to usability and excluding security improvements)</w:t>
      </w:r>
    </w:p>
    <w:p>
      <w:pPr>
        <w:pStyle w:val="FirstParagraph"/>
      </w:pPr>
      <w:r>
        <w:t xml:space="preserve">The UDI-PI is determined by the manufacturer. Typically, the device version number serves as the UDI-PI (see</w:t>
      </w:r>
      <w:r>
        <w:t xml:space="preserve"> </w:t>
      </w:r>
      <w:r>
        <w:t xml:space="preserve">SOP Software Development).</w:t>
      </w:r>
    </w:p>
    <w:p>
      <w:pPr>
        <w:pStyle w:val="BlockText"/>
      </w:pPr>
      <w:r>
        <w:t xml:space="preserve">NOTE:</w:t>
      </w:r>
    </w:p>
    <w:p>
      <w:pPr>
        <w:pStyle w:val="Compact"/>
        <w:numPr>
          <w:ilvl w:val="0"/>
          <w:numId w:val="1006"/>
        </w:numPr>
      </w:pPr>
      <w:r>
        <w:t xml:space="preserve">The</w:t>
      </w:r>
      <w:r>
        <w:t xml:space="preserve"> </w:t>
      </w:r>
      <w:r>
        <w:rPr>
          <w:b/>
          <w:bCs/>
        </w:rPr>
        <w:t xml:space="preserve">Basic UDI-DI</w:t>
      </w:r>
      <w:r>
        <w:t xml:space="preserve"> </w:t>
      </w:r>
      <w:r>
        <w:t xml:space="preserve">(or: BUDI-DI) is assigned by UDI providers and identifies a</w:t>
      </w:r>
      <w:r>
        <w:t xml:space="preserve"> </w:t>
      </w:r>
      <w:r>
        <w:rPr>
          <w:b/>
          <w:bCs/>
        </w:rPr>
        <w:t xml:space="preserve">group of medical</w:t>
      </w:r>
      <w:r>
        <w:rPr>
          <w:b/>
          <w:bCs/>
        </w:rPr>
        <w:t xml:space="preserve"> </w:t>
      </w:r>
      <w:r>
        <w:rPr>
          <w:b/>
          <w:bCs/>
        </w:rPr>
        <w:t xml:space="preserve">devices with the same purpose, risk class, comparable design and manufacturing features.</w:t>
      </w:r>
    </w:p>
    <w:p>
      <w:pPr>
        <w:pStyle w:val="Compact"/>
        <w:numPr>
          <w:ilvl w:val="0"/>
          <w:numId w:val="1006"/>
        </w:numPr>
      </w:pPr>
      <w:r>
        <w:t xml:space="preserve">The</w:t>
      </w:r>
      <w:r>
        <w:t xml:space="preserve"> </w:t>
      </w:r>
      <w:r>
        <w:rPr>
          <w:b/>
          <w:bCs/>
        </w:rPr>
        <w:t xml:space="preserve">UDI-DI</w:t>
      </w:r>
      <w:r>
        <w:t xml:space="preserve"> </w:t>
      </w:r>
      <w:r>
        <w:t xml:space="preserve">is assigned by UDI providers</w:t>
      </w:r>
      <w:r>
        <w:t xml:space="preserve"> </w:t>
      </w:r>
      <w:r>
        <w:rPr>
          <w:b/>
          <w:bCs/>
        </w:rPr>
        <w:t xml:space="preserve">for each medical device product type</w:t>
      </w:r>
      <w:r>
        <w:t xml:space="preserve"> </w:t>
      </w:r>
      <w:r>
        <w:t xml:space="preserve">and is revised for</w:t>
      </w:r>
      <w:r>
        <w:t xml:space="preserve"> </w:t>
      </w:r>
      <w:r>
        <w:t xml:space="preserve">any major modifications (substantial updates) to the device.</w:t>
      </w:r>
    </w:p>
    <w:p>
      <w:pPr>
        <w:pStyle w:val="Compact"/>
        <w:numPr>
          <w:ilvl w:val="0"/>
          <w:numId w:val="1006"/>
        </w:numPr>
      </w:pPr>
      <w:r>
        <w:t xml:space="preserve">The</w:t>
      </w:r>
      <w:r>
        <w:t xml:space="preserve"> </w:t>
      </w:r>
      <w:r>
        <w:rPr>
          <w:b/>
          <w:bCs/>
        </w:rPr>
        <w:t xml:space="preserve">UDI-PI</w:t>
      </w:r>
      <w:r>
        <w:t xml:space="preserve"> </w:t>
      </w:r>
      <w:r>
        <w:t xml:space="preserve">you can assign yourself as a manufacturer</w:t>
      </w:r>
      <w:r>
        <w:t xml:space="preserve"> </w:t>
      </w:r>
      <w:r>
        <w:rPr>
          <w:b/>
          <w:bCs/>
        </w:rPr>
        <w:t xml:space="preserve">for every single product</w:t>
      </w:r>
      <w:r>
        <w:t xml:space="preserve"> </w:t>
      </w:r>
      <w:r>
        <w:t xml:space="preserve">and is revised for</w:t>
      </w:r>
      <w:r>
        <w:t xml:space="preserve"> </w:t>
      </w:r>
      <w:r>
        <w:t xml:space="preserve">minor modifications (non-substantial updates).</w:t>
      </w:r>
    </w:p>
    <w:p>
      <w:pPr>
        <w:pStyle w:val="BlockText"/>
      </w:pPr>
      <w:r>
        <w:rPr>
          <w:b/>
          <w:bCs/>
        </w:rPr>
        <w:t xml:space="preserve">Example:</w:t>
      </w:r>
    </w:p>
    <w:p>
      <w:pPr>
        <w:pStyle w:val="Compact"/>
        <w:numPr>
          <w:ilvl w:val="0"/>
          <w:numId w:val="1007"/>
        </w:numPr>
      </w:pPr>
      <w:r>
        <w:t xml:space="preserve">Basic UDI-DI: Wrist-band health tracking device</w:t>
      </w:r>
    </w:p>
    <w:p>
      <w:pPr>
        <w:pStyle w:val="Compact"/>
        <w:numPr>
          <w:ilvl w:val="0"/>
          <w:numId w:val="1007"/>
        </w:numPr>
      </w:pPr>
      <w:r>
        <w:t xml:space="preserve">UDI-DI: different code based on color and packaging (white/blue/red; single-/double-pack)</w:t>
      </w:r>
    </w:p>
    <w:p>
      <w:pPr>
        <w:pStyle w:val="Compact"/>
        <w:numPr>
          <w:ilvl w:val="0"/>
          <w:numId w:val="1007"/>
        </w:numPr>
      </w:pPr>
      <w:r>
        <w:t xml:space="preserve">UDI-PI: different code based on series/batch/version, expiration date, etc.</w:t>
      </w:r>
    </w:p>
    <w:p>
      <w:pPr>
        <w:pStyle w:val="BlockText"/>
      </w:pPr>
      <w:r>
        <w:t xml:space="preserve">NOTE: As of early 2021, the European Commission has designated four entities to issue UDI codes: GS1, HIBCC,</w:t>
      </w:r>
      <w:r>
        <w:t xml:space="preserve"> </w:t>
      </w:r>
      <w:r>
        <w:t xml:space="preserve">ICCBBA and IFA. As long as Eudamed is not set up for registration, national registration requirements</w:t>
      </w:r>
      <w:r>
        <w:t xml:space="preserve"> </w:t>
      </w:r>
      <w:r>
        <w:t xml:space="preserve">apply. For Germany, consider §96 and §97 of the MPDG. At OpenReg, we recommend obtaining a UDI already to be</w:t>
      </w:r>
      <w:r>
        <w:t xml:space="preserve"> </w:t>
      </w:r>
      <w:r>
        <w:t xml:space="preserve">prepared for the regulatory transition.</w:t>
      </w:r>
    </w:p>
    <w:p>
      <w:pPr>
        <w:pStyle w:val="BlockText"/>
      </w:pPr>
      <w:r>
        <w:t xml:space="preserve">NOTE: As part of the registration process, authorities in non-EU countries may require the documentation to</w:t>
      </w:r>
      <w:r>
        <w:t xml:space="preserve"> </w:t>
      </w:r>
      <w:r>
        <w:t xml:space="preserve">be provided in other languages. Consider norms and regulations for the translation of medical device</w:t>
      </w:r>
      <w:r>
        <w:t xml:space="preserve"> </w:t>
      </w:r>
      <w:r>
        <w:t xml:space="preserve">documentation.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Participants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Product Manager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Released Declaration of Conformity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Updated or new UDI Completed device registration</w:t>
            </w:r>
          </w:p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Template Copyright</w:t>
      </w:r>
      <w:r>
        <w:t xml:space="preserve"> </w:t>
      </w:r>
      <w:hyperlink r:id="rId24">
        <w:r>
          <w:rPr>
            <w:rStyle w:val="Hyperlink"/>
          </w:rPr>
          <w:t xml:space="preserve">openregulatory.com</w:t>
        </w:r>
      </w:hyperlink>
      <w:r>
        <w:t xml:space="preserve">. See</w:t>
      </w:r>
      <w:r>
        <w:t xml:space="preserve"> </w:t>
      </w:r>
      <w:hyperlink r:id="rId25">
        <w:r>
          <w:rPr>
            <w:rStyle w:val="Hyperlink"/>
          </w:rPr>
          <w:t xml:space="preserve">template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license</w:t>
        </w:r>
      </w:hyperlink>
      <w:r>
        <w:t xml:space="preserve">.</w:t>
      </w:r>
    </w:p>
    <w:p>
      <w:pPr>
        <w:pStyle w:val="BodyText"/>
      </w:pPr>
      <w:r>
        <w:t xml:space="preserve">Please don’t remove this notice even if you’ve modified contents of this template.</w:t>
      </w:r>
    </w:p>
    <w:bookmarkEnd w:id="26"/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https://openregulatory.com" TargetMode="External" /><Relationship Type="http://schemas.openxmlformats.org/officeDocument/2006/relationships/hyperlink" Id="rId25" Target="https://openregulatory.com/template-licens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https://openregulatory.com" TargetMode="External" /><Relationship Type="http://schemas.openxmlformats.org/officeDocument/2006/relationships/hyperlink" Id="rId25" Target="https://openregulatory.com/template-licen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2024-10-07T11:10:14Z</dcterms:created>
  <dcterms:modified xsi:type="dcterms:W3CDTF">2024-10-07T11:10:14Z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