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BlockText"/>
      </w:pPr>
      <w:r>
        <w:t xml:space="preserve">DISCLAIMER:</w:t>
      </w:r>
    </w:p>
    <w:p>
      <w:pPr>
        <w:pStyle w:val="BlockText"/>
      </w:pPr>
      <w:r>
        <w:t xml:space="preserve">You may not need this template. It’s aimed companies that develop devices including ML algorithms. Why do</w:t>
      </w:r>
      <w:r>
        <w:t xml:space="preserve"> </w:t>
      </w:r>
      <w:r>
        <w:t xml:space="preserve">they need this template?</w:t>
      </w:r>
    </w:p>
    <w:p>
      <w:pPr>
        <w:pStyle w:val="BlockText"/>
      </w:pPr>
      <w:r>
        <w:t xml:space="preserve">Due to the</w:t>
      </w:r>
      <w:r>
        <w:t xml:space="preserve"> </w:t>
      </w:r>
      <w:r>
        <w:t xml:space="preserve">“</w:t>
      </w:r>
      <w:r>
        <w:t xml:space="preserve">blackbox</w:t>
      </w:r>
      <w:r>
        <w:t xml:space="preserve">”</w:t>
      </w:r>
      <w:r>
        <w:t xml:space="preserve"> </w:t>
      </w:r>
      <w:r>
        <w:t xml:space="preserve">nature of many of those algorithms, their functionalities typically can’t be verified</w:t>
      </w:r>
      <w:r>
        <w:t xml:space="preserve"> </w:t>
      </w:r>
      <w:r>
        <w:t xml:space="preserve">in the same sense as code reviews can verify correct coding in the world of old-school software</w:t>
      </w:r>
      <w:r>
        <w:t xml:space="preserve"> </w:t>
      </w:r>
      <w:r>
        <w:t xml:space="preserve">development. That’s why they can only be validated by subjecting the model to rigorous testing on separate</w:t>
      </w:r>
      <w:r>
        <w:t xml:space="preserve"> </w:t>
      </w:r>
      <w:r>
        <w:t xml:space="preserve">test datasets. This report is the place to document all the results (e.g. sensitivity, specificity,</w:t>
      </w:r>
      <w:r>
        <w:t xml:space="preserve"> </w:t>
      </w:r>
      <w:r>
        <w:t xml:space="preserve">accuracy, ROC curve values, discussion of outlayers, edge cases, etc.). Side note: there’s a disconnect</w:t>
      </w:r>
      <w:r>
        <w:t xml:space="preserve"> </w:t>
      </w:r>
      <w:r>
        <w:t xml:space="preserve">between what data science and regulatory affairs understands as validation and verification. Don’t get</w:t>
      </w:r>
      <w:r>
        <w:t xml:space="preserve"> </w:t>
      </w:r>
      <w:r>
        <w:t xml:space="preserve">confused!</w:t>
      </w:r>
    </w:p>
    <w:bookmarkStart w:id="20" w:name="general-information"/>
    <w:p>
      <w:pPr>
        <w:pStyle w:val="Heading1"/>
      </w:pPr>
      <w:r>
        <w:t xml:space="preserve">1. General Information</w:t>
      </w:r>
    </w:p>
    <w:p>
      <w:pPr>
        <w:pStyle w:val="FirstParagraph"/>
      </w:pPr>
      <w:r>
        <w:t xml:space="preserve">This document describes the specification of our machine learning (algorithm) model and its testing strategy.</w:t>
      </w:r>
    </w:p>
    <w:p>
      <w:pPr>
        <w:pStyle w:val="BlockText"/>
      </w:pPr>
      <w:r>
        <w:t xml:space="preserve">Keep in mind that the results of the algorithm validation should also serve as input to and be referenced in</w:t>
      </w:r>
      <w:r>
        <w:t xml:space="preserve"> </w:t>
      </w:r>
      <w:r>
        <w:t xml:space="preserve">your clinical evaluation / performance evaluation report.</w:t>
      </w:r>
    </w:p>
    <w:p>
      <w:pPr>
        <w:pStyle w:val="FirstParagraph"/>
      </w:pPr>
      <w:r>
        <w:rPr>
          <w:b/>
          <w:bCs/>
        </w:rPr>
        <w:t xml:space="preserve">Regulatory references: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ISO 13485:2016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6.2; 7.3.2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7.3.7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2.3; 3.1; 3.2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4.2.3; 5.2; 7.2.1; 7.3.3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4.1; 7.3.6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7.3.2; 7.3.6; 7.3.7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ISO 14971:2019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2.4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ISO 82304:2016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2.1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ISO 62366-1:2015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5.1; 5.2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2.4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ISO 62304:2006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5.3; 8.1.2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2.4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ISO/IEC 24028:2020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9.8.1; 10.5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3.1; 3.2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9.8.2.1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9.8.2.2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</w:tbl>
    <w:p>
      <w:pPr>
        <w:pStyle w:val="BodyText"/>
      </w:pPr>
      <w:r>
        <w:rPr>
          <w:b/>
          <w:bCs/>
        </w:rPr>
        <w:t xml:space="preserve">Relevant other documentation:</w:t>
      </w:r>
    </w:p>
    <w:p>
      <w:pPr>
        <w:pStyle w:val="Compact"/>
        <w:numPr>
          <w:ilvl w:val="0"/>
          <w:numId w:val="1001"/>
        </w:numPr>
      </w:pPr>
      <w:r>
        <w:t xml:space="preserve">SOP Software Development</w:t>
      </w:r>
    </w:p>
    <w:p>
      <w:pPr>
        <w:pStyle w:val="Compact"/>
        <w:numPr>
          <w:ilvl w:val="0"/>
          <w:numId w:val="1001"/>
        </w:numPr>
      </w:pPr>
      <w:r>
        <w:t xml:space="preserve">Software Development and Maintenance Plan</w:t>
      </w:r>
    </w:p>
    <w:p>
      <w:pPr>
        <w:pStyle w:val="Compact"/>
        <w:numPr>
          <w:ilvl w:val="0"/>
          <w:numId w:val="1001"/>
        </w:numPr>
      </w:pPr>
      <w:r>
        <w:t xml:space="preserve">SOUP List</w:t>
      </w:r>
    </w:p>
    <w:bookmarkEnd w:id="20"/>
    <w:bookmarkStart w:id="25" w:name="development-resources"/>
    <w:p>
      <w:pPr>
        <w:pStyle w:val="Heading1"/>
      </w:pPr>
      <w:r>
        <w:t xml:space="preserve">2. Development Resources</w:t>
      </w:r>
    </w:p>
    <w:p>
      <w:pPr>
        <w:pStyle w:val="FirstParagraph"/>
      </w:pPr>
      <w:r>
        <w:t xml:space="preserve">For more context information, refer to the device’s software development and maintenance plan.</w:t>
      </w:r>
    </w:p>
    <w:bookmarkStart w:id="21" w:name="developer-team"/>
    <w:p>
      <w:pPr>
        <w:pStyle w:val="Heading2"/>
      </w:pPr>
      <w:r>
        <w:t xml:space="preserve">2.1. Developer Team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Role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Qualification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(…)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(…)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(…)</w:t>
            </w:r>
          </w:p>
        </w:tc>
      </w:tr>
    </w:tbl>
    <w:bookmarkEnd w:id="21"/>
    <w:bookmarkStart w:id="22" w:name="soup-frameworks"/>
    <w:p>
      <w:pPr>
        <w:pStyle w:val="Heading2"/>
      </w:pPr>
      <w:r>
        <w:t xml:space="preserve">2.2. SOUP / Frameworks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Version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PyTorch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(…)</w:t>
            </w:r>
          </w:p>
        </w:tc>
      </w:tr>
    </w:tbl>
    <w:bookmarkEnd w:id="22"/>
    <w:bookmarkStart w:id="23" w:name="data"/>
    <w:p>
      <w:pPr>
        <w:pStyle w:val="Heading2"/>
      </w:pPr>
      <w:r>
        <w:t xml:space="preserve">2.3. Data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Count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Description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&lt;e.g. annotated heart rate dataset from a wearable&gt;</w:t>
            </w:r>
          </w:p>
        </w:tc>
      </w:tr>
    </w:tbl>
    <w:bookmarkEnd w:id="23"/>
    <w:bookmarkStart w:id="24" w:name="development-planning"/>
    <w:p>
      <w:pPr>
        <w:pStyle w:val="Heading2"/>
      </w:pPr>
      <w:r>
        <w:t xml:space="preserve">2.4. Development Planning</w:t>
      </w:r>
    </w:p>
    <w:p>
      <w:pPr>
        <w:pStyle w:val="FirstParagraph"/>
      </w:pPr>
      <w:r>
        <w:t xml:space="preserve">Optional: remove or add to the following sub-paragraphs as appropriate.</w:t>
      </w:r>
    </w:p>
    <w:p>
      <w:pPr>
        <w:pStyle w:val="BodyText"/>
      </w:pPr>
      <w:r>
        <w:rPr>
          <w:b/>
          <w:bCs/>
        </w:rPr>
        <w:t xml:space="preserve">Intended Purpose</w:t>
      </w:r>
    </w:p>
    <w:p>
      <w:pPr>
        <w:pStyle w:val="BlockText"/>
      </w:pPr>
      <w:r>
        <w:t xml:space="preserve">Reference intended use; describe intended task the model should solve.</w:t>
      </w:r>
    </w:p>
    <w:p>
      <w:pPr>
        <w:pStyle w:val="FirstParagraph"/>
      </w:pPr>
      <w:r>
        <w:t xml:space="preserve">(…)</w:t>
      </w:r>
    </w:p>
    <w:p>
      <w:pPr>
        <w:pStyle w:val="BodyText"/>
      </w:pPr>
      <w:r>
        <w:rPr>
          <w:b/>
          <w:bCs/>
        </w:rPr>
        <w:t xml:space="preserve">Clinical Environment</w:t>
      </w:r>
    </w:p>
    <w:p>
      <w:pPr>
        <w:pStyle w:val="BlockText"/>
      </w:pPr>
      <w:r>
        <w:t xml:space="preserve">Reference clinical evaluation plan; describe clinical context in which the model will be used.</w:t>
      </w:r>
    </w:p>
    <w:p>
      <w:pPr>
        <w:pStyle w:val="FirstParagraph"/>
      </w:pPr>
      <w:r>
        <w:t xml:space="preserve">(…)</w:t>
      </w:r>
    </w:p>
    <w:p>
      <w:pPr>
        <w:pStyle w:val="BodyText"/>
      </w:pPr>
      <w:r>
        <w:rPr>
          <w:b/>
          <w:bCs/>
        </w:rPr>
        <w:t xml:space="preserve">Software Architecture</w:t>
      </w:r>
    </w:p>
    <w:p>
      <w:pPr>
        <w:pStyle w:val="BlockText"/>
      </w:pPr>
      <w:r>
        <w:t xml:space="preserve">Reference software architecture (diagram); describe how the model will be embedded in the overall system and</w:t>
      </w:r>
      <w:r>
        <w:t xml:space="preserve"> </w:t>
      </w:r>
      <w:r>
        <w:t xml:space="preserve">how it will interact with other software components.</w:t>
      </w:r>
    </w:p>
    <w:p>
      <w:pPr>
        <w:pStyle w:val="FirstParagraph"/>
      </w:pPr>
      <w:r>
        <w:t xml:space="preserve">(…)</w:t>
      </w:r>
    </w:p>
    <w:p>
      <w:pPr>
        <w:pStyle w:val="BodyText"/>
      </w:pPr>
      <w:r>
        <w:rPr>
          <w:b/>
          <w:bCs/>
        </w:rPr>
        <w:t xml:space="preserve">Quality Requirements</w:t>
      </w:r>
    </w:p>
    <w:p>
      <w:pPr>
        <w:pStyle w:val="BlockText"/>
      </w:pPr>
      <w:r>
        <w:t xml:space="preserve">Reference clinical evaluation plan; describe quality criteria that shall apply to the model, for example,</w:t>
      </w:r>
      <w:r>
        <w:t xml:space="preserve"> </w:t>
      </w:r>
      <w:r>
        <w:t xml:space="preserve">quantify values for sensitivity / specificity, AUC, positive/negative predictive value, accuracy,</w:t>
      </w:r>
      <w:r>
        <w:t xml:space="preserve"> </w:t>
      </w:r>
      <w:r>
        <w:t xml:space="preserve">repeatability. Also, provide justification for why certain parameters may not apply and compare your</w:t>
      </w:r>
      <w:r>
        <w:t xml:space="preserve"> </w:t>
      </w:r>
      <w:r>
        <w:t xml:space="preserve">approach to the current state of the art / technology.</w:t>
      </w:r>
    </w:p>
    <w:p>
      <w:pPr>
        <w:pStyle w:val="FirstParagraph"/>
      </w:pPr>
      <w:r>
        <w:t xml:space="preserve">(…)</w:t>
      </w:r>
    </w:p>
    <w:bookmarkEnd w:id="24"/>
    <w:bookmarkEnd w:id="25"/>
    <w:bookmarkStart w:id="29" w:name="data-management"/>
    <w:p>
      <w:pPr>
        <w:pStyle w:val="Heading1"/>
      </w:pPr>
      <w:r>
        <w:t xml:space="preserve">3. Data Management</w:t>
      </w:r>
    </w:p>
    <w:bookmarkStart w:id="26" w:name="data-acquisition"/>
    <w:p>
      <w:pPr>
        <w:pStyle w:val="Heading2"/>
      </w:pPr>
      <w:r>
        <w:t xml:space="preserve">3.1. Data Acquisition</w:t>
      </w:r>
    </w:p>
    <w:p>
      <w:pPr>
        <w:pStyle w:val="BlockText"/>
      </w:pPr>
      <w:r>
        <w:t xml:space="preserve">Describe how you acquired your data (sources, inclusion / exclusion criteria, possible biases, data</w:t>
      </w:r>
      <w:r>
        <w:t xml:space="preserve"> </w:t>
      </w:r>
      <w:r>
        <w:t xml:space="preserve">protection measures, etc). Give a rough estimate of what size of datasets are required.</w:t>
      </w:r>
    </w:p>
    <w:p>
      <w:pPr>
        <w:pStyle w:val="BlockText"/>
      </w:pPr>
      <w:r>
        <w:t xml:space="preserve">If applicable, reference relevant QMS processes.</w:t>
      </w:r>
    </w:p>
    <w:p>
      <w:pPr>
        <w:pStyle w:val="FirstParagraph"/>
      </w:pPr>
      <w:r>
        <w:t xml:space="preserve">(…)</w:t>
      </w:r>
    </w:p>
    <w:bookmarkEnd w:id="26"/>
    <w:bookmarkStart w:id="27" w:name="data-annotation"/>
    <w:p>
      <w:pPr>
        <w:pStyle w:val="Heading2"/>
      </w:pPr>
      <w:r>
        <w:t xml:space="preserve">3.2. Data Annotation</w:t>
      </w:r>
    </w:p>
    <w:p>
      <w:pPr>
        <w:pStyle w:val="BlockText"/>
      </w:pPr>
      <w:r>
        <w:t xml:space="preserve">Describe how data is labeled and how you determined the ground truth. Further, you can describe: labeling</w:t>
      </w:r>
      <w:r>
        <w:t xml:space="preserve"> </w:t>
      </w:r>
      <w:r>
        <w:t xml:space="preserve">requirements (quality criteria), qualification / training of staff involved, quality assurance for correct</w:t>
      </w:r>
      <w:r>
        <w:t xml:space="preserve"> </w:t>
      </w:r>
      <w:r>
        <w:t xml:space="preserve">labeling. If applicable, reference relevant QMS processes.</w:t>
      </w:r>
    </w:p>
    <w:p>
      <w:pPr>
        <w:pStyle w:val="FirstParagraph"/>
      </w:pPr>
      <w:r>
        <w:t xml:space="preserve">(…)</w:t>
      </w:r>
    </w:p>
    <w:bookmarkEnd w:id="27"/>
    <w:bookmarkStart w:id="28" w:name="data-pre-processing"/>
    <w:p>
      <w:pPr>
        <w:pStyle w:val="Heading2"/>
      </w:pPr>
      <w:r>
        <w:t xml:space="preserve">3.3. Data Pre-Processing</w:t>
      </w:r>
    </w:p>
    <w:p>
      <w:pPr>
        <w:pStyle w:val="BlockText"/>
      </w:pPr>
      <w:r>
        <w:t xml:space="preserve">Describe how you pre-processed data. Possible steps may include: anonymization / pseudonymization, removing</w:t>
      </w:r>
      <w:r>
        <w:t xml:space="preserve"> </w:t>
      </w:r>
      <w:r>
        <w:t xml:space="preserve">data elements, converting data formats or units, handling missing values or data outliers. How did you</w:t>
      </w:r>
      <w:r>
        <w:t xml:space="preserve"> </w:t>
      </w:r>
      <w:r>
        <w:t xml:space="preserve">divide data into training, validation and test data. If applicable, reference relevant QMS processes.</w:t>
      </w:r>
    </w:p>
    <w:p>
      <w:pPr>
        <w:pStyle w:val="FirstParagraph"/>
      </w:pPr>
      <w:r>
        <w:t xml:space="preserve">(…)</w:t>
      </w:r>
    </w:p>
    <w:bookmarkEnd w:id="28"/>
    <w:bookmarkEnd w:id="29"/>
    <w:bookmarkStart w:id="30" w:name="algorithm-model-training-and-description"/>
    <w:p>
      <w:pPr>
        <w:pStyle w:val="Heading1"/>
      </w:pPr>
      <w:r>
        <w:t xml:space="preserve">4. Algorithm Model Training and Description</w:t>
      </w:r>
    </w:p>
    <w:p>
      <w:pPr>
        <w:pStyle w:val="BlockText"/>
      </w:pPr>
      <w:r>
        <w:t xml:space="preserve">Describe your algorithm model. For example: which type of model (e.g. CNN) is used? Optionally, add a graph</w:t>
      </w:r>
      <w:r>
        <w:t xml:space="preserve"> </w:t>
      </w:r>
      <w:r>
        <w:t xml:space="preserve">or diagram to explain the model architecture. Describe model training; e.g. selection of features, (most</w:t>
      </w:r>
      <w:r>
        <w:t xml:space="preserve"> </w:t>
      </w:r>
      <w:r>
        <w:t xml:space="preserve">important) hyperparameters, etc.</w:t>
      </w:r>
    </w:p>
    <w:p>
      <w:pPr>
        <w:pStyle w:val="FirstParagraph"/>
      </w:pPr>
      <w:r>
        <w:t xml:space="preserve">(…)</w:t>
      </w:r>
    </w:p>
    <w:bookmarkEnd w:id="30"/>
    <w:bookmarkStart w:id="31" w:name="algorithm-model-evaluation"/>
    <w:p>
      <w:pPr>
        <w:pStyle w:val="Heading1"/>
      </w:pPr>
      <w:r>
        <w:t xml:space="preserve">5. Algorithm Model Evaluation</w:t>
      </w:r>
    </w:p>
    <w:p>
      <w:pPr>
        <w:pStyle w:val="BlockText"/>
      </w:pPr>
      <w:r>
        <w:t xml:space="preserve">Describe how testing is done: describe your test data set, which metrics are used for evaluation and which</w:t>
      </w:r>
      <w:r>
        <w:t xml:space="preserve"> </w:t>
      </w:r>
      <w:r>
        <w:t xml:space="preserve">values are deemed acceptable.</w:t>
      </w:r>
    </w:p>
    <w:p>
      <w:pPr>
        <w:pStyle w:val="FirstParagraph"/>
      </w:pPr>
      <w:r>
        <w:t xml:space="preserve">(…)</w:t>
      </w:r>
    </w:p>
    <w:bookmarkEnd w:id="31"/>
    <w:bookmarkStart w:id="34" w:name="conclusion"/>
    <w:p>
      <w:pPr>
        <w:pStyle w:val="Heading1"/>
      </w:pPr>
      <w:r>
        <w:t xml:space="preserve">6. Conclusion</w:t>
      </w:r>
    </w:p>
    <w:p>
      <w:pPr>
        <w:pStyle w:val="BlockText"/>
      </w:pPr>
      <w:r>
        <w:t xml:space="preserve">Discuss your evaluation results: why do they meet predefined quality criteria, why is the model fit for</w:t>
      </w:r>
      <w:r>
        <w:t xml:space="preserve"> </w:t>
      </w:r>
      <w:r>
        <w:t xml:space="preserve">purpose in accordance with the medical device’s intended use? Take into account possible risks, biases and</w:t>
      </w:r>
      <w:r>
        <w:t xml:space="preserve"> </w:t>
      </w:r>
      <w:r>
        <w:t xml:space="preserve">limitations.</w:t>
      </w:r>
    </w:p>
    <w:p>
      <w:pPr>
        <w:pStyle w:val="FirstParagraph"/>
      </w:pPr>
      <w:r>
        <w:t xml:space="preserve">(…)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32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33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3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2" Target="https://openregulatory.com" TargetMode="External" /><Relationship Type="http://schemas.openxmlformats.org/officeDocument/2006/relationships/hyperlink" Id="rId33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openregulatory.com" TargetMode="External" /><Relationship Type="http://schemas.openxmlformats.org/officeDocument/2006/relationships/hyperlink" Id="rId33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2025-01-07T08:54:09Z</dcterms:created>
  <dcterms:modified xsi:type="dcterms:W3CDTF">2025-01-07T08:54:09Z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