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4" w:name="software-requirements-list"/>
    <w:p>
      <w:pPr>
        <w:pStyle w:val="Heading1"/>
      </w:pPr>
      <w:r>
        <w:t xml:space="preserve">Software Requirements List</w:t>
      </w:r>
    </w:p>
    <w:p>
      <w:pPr>
        <w:pStyle w:val="BlockText"/>
      </w:pPr>
      <w:r>
        <w:t xml:space="preserve">This document is related to your product. You somehow need to associate it with it. The easiest way would be</w:t>
      </w:r>
      <w:r>
        <w:t xml:space="preserve"> </w:t>
      </w:r>
      <w:r>
        <w:t xml:space="preserve">to just put all product-related documents into a folder in your QMS so that the association is</w:t>
      </w:r>
      <w:r>
        <w:t xml:space="preserve"> </w:t>
      </w:r>
      <w:r>
        <w:t xml:space="preserve">clear. Alternatively, you could mention the related product and version here, but then you’d have to update</w:t>
      </w:r>
      <w:r>
        <w:t xml:space="preserve"> </w:t>
      </w:r>
      <w:r>
        <w:t xml:space="preserve">the version here any time you do a new release. Painful!</w:t>
      </w:r>
    </w:p>
    <w:p>
      <w:pPr>
        <w:pStyle w:val="BlockText"/>
      </w:pPr>
      <w:r>
        <w:t xml:space="preserve">This is a list of your software requirements. If you have multiple software systems (you probably have a</w:t>
      </w:r>
      <w:r>
        <w:t xml:space="preserve"> </w:t>
      </w:r>
      <w:r>
        <w:t xml:space="preserve">backend and a frontend), you can use the</w:t>
      </w:r>
      <w:r>
        <w:t xml:space="preserve"> </w:t>
      </w:r>
      <w:r>
        <w:t xml:space="preserve">“</w:t>
      </w:r>
      <w:r>
        <w:t xml:space="preserve">Software System</w:t>
      </w:r>
      <w:r>
        <w:t xml:space="preserve">”</w:t>
      </w:r>
      <w:r>
        <w:t xml:space="preserve"> </w:t>
      </w:r>
      <w:r>
        <w:t xml:space="preserve">column. The categories are the 62304 categories</w:t>
      </w:r>
      <w:r>
        <w:t xml:space="preserve"> </w:t>
      </w:r>
      <w:r>
        <w:t xml:space="preserve">from section 5.2.2.</w:t>
      </w:r>
      <w:r>
        <w:t xml:space="preserve"> </w:t>
      </w:r>
      <w:r>
        <w:rPr>
          <w:i/>
          <w:iCs/>
        </w:rPr>
        <w:t xml:space="preserve">Risk Control Measure?</w:t>
      </w:r>
      <w:r>
        <w:t xml:space="preserve"> </w:t>
      </w:r>
      <w:r>
        <w:t xml:space="preserve">is just a yes/no field. And the related risk IDs refer to the</w:t>
      </w:r>
      <w:r>
        <w:t xml:space="preserve"> </w:t>
      </w:r>
      <w:r>
        <w:t xml:space="preserve">risk IDs from your risk table.</w:t>
      </w:r>
    </w:p>
    <w:p>
      <w:pPr>
        <w:pStyle w:val="BlockText"/>
      </w:pPr>
      <w:r>
        <w:t xml:space="preserve">Of course, you could also use your own tool like Jira or GitHub issues. Just ensure that the content (i.e.,</w:t>
      </w:r>
      <w:r>
        <w:t xml:space="preserve"> </w:t>
      </w:r>
      <w:r>
        <w:t xml:space="preserve">the columns shown here) is roughly the same.</w:t>
      </w:r>
    </w:p>
    <w:bookmarkStart w:id="20" w:name="X5614e09c55ef0851c7044086f25d2c76553d393"/>
    <w:p>
      <w:pPr>
        <w:pStyle w:val="Heading2"/>
      </w:pPr>
      <w:r>
        <w:t xml:space="preserve">Mapping of Standard Requirements to Document Sections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Classes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IEC 62304:2006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5.2.1, 5.2.2, 5.2.3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13485:2016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</w:tbl>
    <w:p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08"/>
        <w:gridCol w:w="5197"/>
        <w:gridCol w:w="1113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IEC 62366-1:2015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User Interface characteristics related to Safety and potential Use Errors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User Interface Specification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bookmarkEnd w:id="20"/>
    <w:bookmarkStart w:id="23" w:name="software-requirements"/>
    <w:p>
      <w:pPr>
        <w:pStyle w:val="Heading2"/>
      </w:pPr>
      <w:r>
        <w:t xml:space="preserve">1. Software Requirements</w:t>
      </w:r>
    </w:p>
    <w:p>
      <w:pPr>
        <w:pStyle w:val="BlockText"/>
      </w:pPr>
      <w:r>
        <w:t xml:space="preserve">While the 62034</w:t>
      </w:r>
      <w:r>
        <w:t xml:space="preserve"> </w:t>
      </w:r>
      <w:r>
        <w:t xml:space="preserve">“</w:t>
      </w:r>
      <w:r>
        <w:t xml:space="preserve">only</w:t>
      </w:r>
      <w:r>
        <w:t xml:space="preserve">”</w:t>
      </w:r>
      <w:r>
        <w:t xml:space="preserve"> </w:t>
      </w:r>
      <w:r>
        <w:t xml:space="preserve">requires you to document Software Requirements, the 13485 also wants you to document</w:t>
      </w:r>
      <w:r>
        <w:t xml:space="preserve"> </w:t>
      </w:r>
      <w:r>
        <w:t xml:space="preserve">higher-level customer requirements. You could solve that by having a two-stage hierarchy of requirements: On</w:t>
      </w:r>
      <w:r>
        <w:t xml:space="preserve"> </w:t>
      </w:r>
      <w:r>
        <w:t xml:space="preserve">the first level, you’d have user stories (= the 13485 customer requirements), and beneath that, for each</w:t>
      </w:r>
      <w:r>
        <w:t xml:space="preserve"> </w:t>
      </w:r>
      <w:r>
        <w:t xml:space="preserve">user story, you’d have more technical specifications (= 62304 software requirements).</w:t>
      </w:r>
    </w:p>
    <w:p>
      <w:pPr>
        <w:pStyle w:val="BlockText"/>
      </w:pPr>
      <w:r>
        <w:t xml:space="preserve">There’s no great way to display this in a table, so for now, this table only solves the problem of defining</w:t>
      </w:r>
      <w:r>
        <w:t xml:space="preserve"> </w:t>
      </w:r>
      <w:r>
        <w:t xml:space="preserve">software requirements. Feel free to create a second table for user stories, or just cram them into this one</w:t>
      </w:r>
      <w:r>
        <w:t xml:space="preserve"> </w:t>
      </w:r>
      <w:r>
        <w:t xml:space="preserve">(good luck).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77"/>
        <w:gridCol w:w="1181"/>
        <w:gridCol w:w="1111"/>
        <w:gridCol w:w="2501"/>
        <w:gridCol w:w="1597"/>
        <w:gridCol w:w="125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Category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Description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Control Measure?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Related Risk IDs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Functional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On first launch, show introduction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User Interface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user locale (language)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 (Risk ID)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Functional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Average CPU usage &lt; 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Backend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Store passwords as hashes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Backend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Interface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Expose a REST API, handle JSON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1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2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openregulatory.com" TargetMode="External" /><Relationship Type="http://schemas.openxmlformats.org/officeDocument/2006/relationships/hyperlink" Id="rId22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openregulatory.com" TargetMode="External" /><Relationship Type="http://schemas.openxmlformats.org/officeDocument/2006/relationships/hyperlink" Id="rId22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2025-01-07T08:54:09Z</dcterms:created>
  <dcterms:modified xsi:type="dcterms:W3CDTF">2025-01-07T08:54:09Z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