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4" w:name="general-information"/>
    <w:p>
      <w:pPr>
        <w:pStyle w:val="Heading1"/>
      </w:pPr>
      <w:r>
        <w:t xml:space="preserve">1. General Information</w:t>
      </w:r>
    </w:p>
    <w:p>
      <w:pPr>
        <w:pStyle w:val="FirstParagraph"/>
      </w:pPr>
      <w:r>
        <w:t xml:space="preserve">This SOP describes how we support the initial integration and update of integrations of our medical devices</w:t>
      </w:r>
      <w:r>
        <w:t xml:space="preserve"> </w:t>
      </w:r>
      <w:r>
        <w:t xml:space="preserve">into the IT systems of our customers. Furthermore, it covers user management and user training. By following</w:t>
      </w:r>
      <w:r>
        <w:t xml:space="preserve"> </w:t>
      </w:r>
      <w:r>
        <w:t xml:space="preserve">this process, we want to make sure that our customers receive our medical devices or services the intended</w:t>
      </w:r>
      <w:r>
        <w:t xml:space="preserve"> </w:t>
      </w:r>
      <w:r>
        <w:t xml:space="preserve">way.</w:t>
      </w:r>
    </w:p>
    <w:p>
      <w:pPr>
        <w:pStyle w:val="BlockText"/>
      </w:pPr>
      <w:r>
        <w:t xml:space="preserve">Obvious disclaimer!</w:t>
      </w:r>
    </w:p>
    <w:p>
      <w:pPr>
        <w:pStyle w:val="BlockText"/>
      </w:pPr>
      <w:r>
        <w:t xml:space="preserve">The deployment process should be very much customized to the context of your specific product. Are you</w:t>
      </w:r>
      <w:r>
        <w:t xml:space="preserve"> </w:t>
      </w:r>
      <w:r>
        <w:t xml:space="preserve">deploying your product web-based? Are you integrating with local healthcare providers’ IT systems? Depending</w:t>
      </w:r>
      <w:r>
        <w:t xml:space="preserve"> </w:t>
      </w:r>
      <w:r>
        <w:t xml:space="preserve">on those questions, you will have to write each single process step of this template. Sorry to disappoint</w:t>
      </w:r>
      <w:r>
        <w:t xml:space="preserve"> </w:t>
      </w:r>
      <w:r>
        <w:t xml:space="preserve">you! Hope the structure helps you at least to get an idea of the regulatory requirements.</w:t>
      </w:r>
    </w:p>
    <w:tbl>
      <w:tblPr>
        <w:tblStyle w:val="Table"/>
        <w:tblW w:type="pct" w:w="5000"/>
        <w:tblLayout w:type="fixed"/>
        <w:tblLook w:firstRow="0" w:lastRow="0" w:firstColumn="0" w:lastColumn="0" w:noHBand="0" w:noVBand="0" w:val="0000"/>
      </w:tblPr>
      <w:tblGrid>
        <w:gridCol w:w="2816"/>
        <w:gridCol w:w="5104"/>
      </w:tblGrid>
      <w:tr>
        <w:tc>
          <w:tcPr/>
          <w:p>
            <w:pPr>
              <w:pStyle w:val="Compact"/>
              <w:jc w:val="left"/>
            </w:pPr>
            <w:r>
              <w:rPr>
                <w:b/>
                <w:bCs/>
              </w:rPr>
              <w:t xml:space="preserve">Process Owner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/>
                <w:iCs/>
              </w:rPr>
              <w:t xml:space="preserve">&lt;enter role of process owner&gt;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b/>
                <w:bCs/>
              </w:rPr>
              <w:t xml:space="preserve">Key Performance Indicators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/>
                <w:iCs/>
              </w:rPr>
              <w:t xml:space="preserve">&lt;enter KPIs to be tracked for the Management Review&gt;</w:t>
            </w:r>
          </w:p>
        </w:tc>
      </w:tr>
    </w:tbl>
    <w:p>
      <w:pPr>
        <w:pStyle w:val="BodyText"/>
      </w:pPr>
      <w:r>
        <w:rPr>
          <w:b/>
          <w:bCs/>
        </w:rPr>
        <w:t xml:space="preserve">Regulatory references:</w:t>
      </w:r>
    </w:p>
    <w:p>
      <w:pPr>
        <w:pStyle w:val="Compact"/>
        <w:numPr>
          <w:ilvl w:val="0"/>
          <w:numId w:val="1001"/>
        </w:numPr>
      </w:pPr>
      <w:r>
        <w:t xml:space="preserve">ISO 13485:2016 Chapter 7.5</w:t>
      </w:r>
    </w:p>
    <w:p>
      <w:pPr>
        <w:pStyle w:val="FirstParagraph"/>
      </w:pPr>
      <w:r>
        <w:rPr>
          <w:b/>
          <w:bCs/>
        </w:rPr>
        <w:t xml:space="preserve">Relevant other documentation:</w:t>
      </w:r>
    </w:p>
    <w:p>
      <w:pPr>
        <w:pStyle w:val="Compact"/>
        <w:numPr>
          <w:ilvl w:val="0"/>
          <w:numId w:val="1002"/>
        </w:numPr>
      </w:pPr>
      <w:r>
        <w:t xml:space="preserve">Integration Evaluation Checklist (IECL)</w:t>
      </w:r>
    </w:p>
    <w:p>
      <w:pPr>
        <w:pStyle w:val="Compact"/>
        <w:numPr>
          <w:ilvl w:val="0"/>
          <w:numId w:val="1002"/>
        </w:numPr>
      </w:pPr>
      <w:r>
        <w:t xml:space="preserve">Integration Validation Checklist (IVCL)</w:t>
      </w:r>
    </w:p>
    <w:p>
      <w:pPr>
        <w:pStyle w:val="Compact"/>
        <w:numPr>
          <w:ilvl w:val="0"/>
          <w:numId w:val="1002"/>
        </w:numPr>
      </w:pPr>
      <w:r>
        <w:t xml:space="preserve">Software Requirement Specifications</w:t>
      </w:r>
    </w:p>
    <w:p>
      <w:pPr>
        <w:pStyle w:val="Compact"/>
        <w:numPr>
          <w:ilvl w:val="0"/>
          <w:numId w:val="1002"/>
        </w:numPr>
      </w:pPr>
      <w:r>
        <w:t xml:space="preserve">List of Medical Devices (PROD)</w:t>
      </w:r>
    </w:p>
    <w:p>
      <w:pPr>
        <w:pStyle w:val="Compact"/>
        <w:numPr>
          <w:ilvl w:val="0"/>
          <w:numId w:val="1002"/>
        </w:numPr>
      </w:pPr>
      <w:r>
        <w:t xml:space="preserve">User Training Strategy</w:t>
      </w:r>
    </w:p>
    <w:p>
      <w:pPr>
        <w:pStyle w:val="Compact"/>
        <w:numPr>
          <w:ilvl w:val="0"/>
          <w:numId w:val="1002"/>
        </w:numPr>
      </w:pPr>
      <w:r>
        <w:t xml:space="preserve">Template User Training Record</w:t>
      </w:r>
    </w:p>
    <w:p>
      <w:pPr>
        <w:pStyle w:val="Compact"/>
        <w:numPr>
          <w:ilvl w:val="0"/>
          <w:numId w:val="1002"/>
        </w:numPr>
      </w:pPr>
      <w:r>
        <w:t xml:space="preserve">User Consent Form (if applicable)</w:t>
      </w:r>
    </w:p>
    <w:bookmarkStart w:id="20" w:name="integration-specifications"/>
    <w:p>
      <w:pPr>
        <w:pStyle w:val="Heading2"/>
      </w:pPr>
      <w:r>
        <w:t xml:space="preserve">1.1. Integration Specifications</w:t>
      </w:r>
    </w:p>
    <w:p>
      <w:pPr>
        <w:pStyle w:val="FirstParagraph"/>
      </w:pPr>
      <w:r>
        <w:t xml:space="preserve">Integration Specifications are the technical requirements defined in the instructions for use as part of the</w:t>
      </w:r>
      <w:r>
        <w:t xml:space="preserve"> </w:t>
      </w:r>
      <w:r>
        <w:t xml:space="preserve">technical documentation of medical devices.</w:t>
      </w:r>
    </w:p>
    <w:bookmarkEnd w:id="20"/>
    <w:bookmarkStart w:id="21" w:name="integration-checklists"/>
    <w:p>
      <w:pPr>
        <w:pStyle w:val="Heading2"/>
      </w:pPr>
      <w:r>
        <w:t xml:space="preserve">1.2. Integration Checklists</w:t>
      </w:r>
    </w:p>
    <w:p>
      <w:pPr>
        <w:pStyle w:val="FirstParagraph"/>
      </w:pPr>
      <w:r>
        <w:t xml:space="preserve">The Integration Specifications are used to compile the Integration Evaluation Checklist. It is ensured that we</w:t>
      </w:r>
      <w:r>
        <w:t xml:space="preserve"> </w:t>
      </w:r>
      <w:r>
        <w:t xml:space="preserve">do not offer medical devices or services which cannot be delivered by filling out this checklist, for which</w:t>
      </w:r>
      <w:r>
        <w:t xml:space="preserve"> </w:t>
      </w:r>
      <w:r>
        <w:t xml:space="preserve">the Operations Team Representative is responsible. We fill out the Integration Validation Checklist after</w:t>
      </w:r>
      <w:r>
        <w:t xml:space="preserve"> </w:t>
      </w:r>
      <w:r>
        <w:t xml:space="preserve">concluding integration work in order to validate if all technical requirements for successful integration have</w:t>
      </w:r>
      <w:r>
        <w:t xml:space="preserve"> </w:t>
      </w:r>
      <w:r>
        <w:t xml:space="preserve">been completed.</w:t>
      </w:r>
    </w:p>
    <w:bookmarkEnd w:id="21"/>
    <w:bookmarkStart w:id="22" w:name="device-traceability"/>
    <w:p>
      <w:pPr>
        <w:pStyle w:val="Heading2"/>
      </w:pPr>
      <w:r>
        <w:t xml:space="preserve">1.3. Device Traceability</w:t>
      </w:r>
    </w:p>
    <w:p>
      <w:pPr>
        <w:pStyle w:val="FirstParagraph"/>
      </w:pPr>
      <w:r>
        <w:t xml:space="preserve">The operations team ensures that only released device versions are deployed to the customer</w:t>
      </w:r>
      <w:r>
        <w:t xml:space="preserve"> </w:t>
      </w:r>
      <w:r>
        <w:t xml:space="preserve">environment. Deployment of device versions is documented as part of the medical device list. This file must</w:t>
      </w:r>
      <w:r>
        <w:t xml:space="preserve"> </w:t>
      </w:r>
      <w:r>
        <w:t xml:space="preserve">contain at minimum:</w:t>
      </w:r>
    </w:p>
    <w:p>
      <w:pPr>
        <w:pStyle w:val="Compact"/>
        <w:numPr>
          <w:ilvl w:val="0"/>
          <w:numId w:val="1003"/>
        </w:numPr>
      </w:pPr>
      <w:r>
        <w:t xml:space="preserve">Use description (e.g. clinical use, test, etc.)</w:t>
      </w:r>
    </w:p>
    <w:p>
      <w:pPr>
        <w:pStyle w:val="Compact"/>
        <w:numPr>
          <w:ilvl w:val="0"/>
          <w:numId w:val="1003"/>
        </w:numPr>
      </w:pPr>
      <w:r>
        <w:t xml:space="preserve">Device description (e.g. device version, UDI, release date, identification number of the NB acc. to CE</w:t>
      </w:r>
      <w:r>
        <w:t xml:space="preserve"> </w:t>
      </w:r>
      <w:r>
        <w:t xml:space="preserve">certificate)</w:t>
      </w:r>
    </w:p>
    <w:p>
      <w:pPr>
        <w:pStyle w:val="Compact"/>
        <w:numPr>
          <w:ilvl w:val="0"/>
          <w:numId w:val="1003"/>
        </w:numPr>
      </w:pPr>
      <w:r>
        <w:t xml:space="preserve">Company and contact data to a responsible person, deployment location</w:t>
      </w:r>
    </w:p>
    <w:bookmarkEnd w:id="22"/>
    <w:bookmarkStart w:id="23" w:name="project-management-tool"/>
    <w:p>
      <w:pPr>
        <w:pStyle w:val="Heading2"/>
      </w:pPr>
      <w:r>
        <w:t xml:space="preserve">1.4. Project Management Tool</w:t>
      </w:r>
    </w:p>
    <w:p>
      <w:pPr>
        <w:pStyle w:val="FirstParagraph"/>
      </w:pPr>
      <w:r>
        <w:t xml:space="preserve">Optional:</w:t>
      </w:r>
    </w:p>
    <w:p>
      <w:pPr>
        <w:pStyle w:val="BodyText"/>
      </w:pPr>
      <w:r>
        <w:t xml:space="preserve">&lt;enter name&gt; is used as the project management tool to coordinate integration work.</w:t>
      </w:r>
    </w:p>
    <w:bookmarkEnd w:id="23"/>
    <w:bookmarkEnd w:id="24"/>
    <w:bookmarkStart w:id="35" w:name="process-overview"/>
    <w:p>
      <w:pPr>
        <w:pStyle w:val="Heading1"/>
      </w:pPr>
      <w:r>
        <w:t xml:space="preserve">2. Process Overview</w:t>
      </w:r>
    </w:p>
    <w:bookmarkStart w:id="25" w:name="Xe03701a4f69a6b393087f205d351a34b03f3047"/>
    <w:p>
      <w:pPr>
        <w:pStyle w:val="Heading2"/>
      </w:pPr>
      <w:r>
        <w:t xml:space="preserve">2.1. Evaluation of Integration Requirements per Customer</w:t>
      </w:r>
    </w:p>
    <w:p>
      <w:pPr>
        <w:pStyle w:val="BlockText"/>
      </w:pPr>
      <w:r>
        <w:t xml:space="preserve">Possible contents of this process step:</w:t>
      </w:r>
    </w:p>
    <w:p>
      <w:pPr>
        <w:pStyle w:val="Compact"/>
        <w:numPr>
          <w:ilvl w:val="0"/>
          <w:numId w:val="1004"/>
        </w:numPr>
      </w:pPr>
      <w:r>
        <w:t xml:space="preserve">Following the draft of an offer / contract with a customer, the sales team reaches out to the technical</w:t>
      </w:r>
      <w:r>
        <w:t xml:space="preserve"> </w:t>
      </w:r>
      <w:r>
        <w:t xml:space="preserve">operations team to evaluate if technical requirements are met.</w:t>
      </w:r>
    </w:p>
    <w:p>
      <w:pPr>
        <w:pStyle w:val="Compact"/>
        <w:numPr>
          <w:ilvl w:val="0"/>
          <w:numId w:val="1004"/>
        </w:numPr>
      </w:pPr>
      <w:r>
        <w:t xml:space="preserve">In coordination with competent staff on the customer’s side, the technical operations team gathers</w:t>
      </w:r>
      <w:r>
        <w:t xml:space="preserve"> </w:t>
      </w:r>
      <w:r>
        <w:t xml:space="preserve">relevant information to fill out the integration evaluation checklist.</w:t>
      </w:r>
    </w:p>
    <w:p>
      <w:pPr>
        <w:pStyle w:val="Compact"/>
        <w:numPr>
          <w:ilvl w:val="0"/>
          <w:numId w:val="1004"/>
        </w:numPr>
      </w:pPr>
      <w:r>
        <w:t xml:space="preserve">If evaluation output does not allow for integration, the Operations team assesses other integration</w:t>
      </w:r>
      <w:r>
        <w:t xml:space="preserve"> </w:t>
      </w:r>
      <w:r>
        <w:t xml:space="preserve">possibilities or recommends to not further pursue the customer contract.</w:t>
      </w:r>
    </w:p>
    <w:p>
      <w:pPr>
        <w:pStyle w:val="Compact"/>
        <w:numPr>
          <w:ilvl w:val="0"/>
          <w:numId w:val="1004"/>
        </w:numPr>
      </w:pPr>
      <w:r>
        <w:t xml:space="preserve">The operations team communicates the result of the evaluation to the sales team.</w:t>
      </w:r>
    </w:p>
    <w:p>
      <w:pPr>
        <w:pStyle w:val="FirstParagraph"/>
      </w:pPr>
      <w:r>
        <w:t xml:space="preserve">(…)</w:t>
      </w:r>
    </w:p>
    <w:bookmarkEnd w:id="25"/>
    <w:bookmarkStart w:id="26" w:name="integration-coordination"/>
    <w:p>
      <w:pPr>
        <w:pStyle w:val="Heading2"/>
      </w:pPr>
      <w:r>
        <w:t xml:space="preserve">2.2. Integration Coordination</w:t>
      </w:r>
    </w:p>
    <w:p>
      <w:pPr>
        <w:pStyle w:val="BlockText"/>
      </w:pPr>
      <w:r>
        <w:t xml:space="preserve">Possible contents of this process step:</w:t>
      </w:r>
    </w:p>
    <w:p>
      <w:pPr>
        <w:pStyle w:val="Compact"/>
        <w:numPr>
          <w:ilvl w:val="0"/>
          <w:numId w:val="1005"/>
        </w:numPr>
      </w:pPr>
      <w:r>
        <w:t xml:space="preserve">Following integration evaluation and the conclusion of a new customer contract, the operations team is</w:t>
      </w:r>
      <w:r>
        <w:t xml:space="preserve"> </w:t>
      </w:r>
      <w:r>
        <w:t xml:space="preserve">responsible to coordinate overall integration efforts.</w:t>
      </w:r>
    </w:p>
    <w:p>
      <w:pPr>
        <w:pStyle w:val="Compact"/>
        <w:numPr>
          <w:ilvl w:val="0"/>
          <w:numId w:val="1005"/>
        </w:numPr>
      </w:pPr>
      <w:r>
        <w:t xml:space="preserve">The operations team communicates to the customer (technical department) appropriate technical information</w:t>
      </w:r>
      <w:r>
        <w:t xml:space="preserve"> </w:t>
      </w:r>
      <w:r>
        <w:t xml:space="preserve">and guidance for the integration.</w:t>
      </w:r>
    </w:p>
    <w:p>
      <w:pPr>
        <w:pStyle w:val="Compact"/>
        <w:numPr>
          <w:ilvl w:val="0"/>
          <w:numId w:val="1005"/>
        </w:numPr>
      </w:pPr>
      <w:r>
        <w:t xml:space="preserve">If integration problems occur, the operations team is responsible to (a) amend the integration evaluation</w:t>
      </w:r>
      <w:r>
        <w:t xml:space="preserve"> </w:t>
      </w:r>
      <w:r>
        <w:t xml:space="preserve">checklist in order to prevent similar problems with future customers. (b) initiate the change management</w:t>
      </w:r>
      <w:r>
        <w:t xml:space="preserve"> </w:t>
      </w:r>
      <w:r>
        <w:t xml:space="preserve">process in case the medical device itself needs to be changed.</w:t>
      </w:r>
    </w:p>
    <w:p>
      <w:pPr>
        <w:pStyle w:val="Compact"/>
        <w:numPr>
          <w:ilvl w:val="0"/>
          <w:numId w:val="1005"/>
        </w:numPr>
      </w:pPr>
      <w:r>
        <w:t xml:space="preserve">Successful integration is validated by filling out the integration validation checklist. The operations</w:t>
      </w:r>
      <w:r>
        <w:t xml:space="preserve"> </w:t>
      </w:r>
      <w:r>
        <w:t xml:space="preserve">team obtains written confirmation of the customer setup after integration.</w:t>
      </w:r>
    </w:p>
    <w:p>
      <w:pPr>
        <w:pStyle w:val="Compact"/>
        <w:numPr>
          <w:ilvl w:val="0"/>
          <w:numId w:val="1005"/>
        </w:numPr>
      </w:pPr>
      <w:r>
        <w:t xml:space="preserve">The operations team informs the sales team once integration is complete. It documents the deployment date,</w:t>
      </w:r>
      <w:r>
        <w:t xml:space="preserve"> </w:t>
      </w:r>
      <w:r>
        <w:t xml:space="preserve">deployed version of the device and customer information as part of the medical device list.</w:t>
      </w:r>
    </w:p>
    <w:p>
      <w:pPr>
        <w:pStyle w:val="FirstParagraph"/>
      </w:pPr>
      <w:r>
        <w:t xml:space="preserve">(…)</w:t>
      </w:r>
    </w:p>
    <w:bookmarkEnd w:id="26"/>
    <w:bookmarkStart w:id="27" w:name="algorithm-deployment-and-configuration"/>
    <w:p>
      <w:pPr>
        <w:pStyle w:val="Heading2"/>
      </w:pPr>
      <w:r>
        <w:t xml:space="preserve">2.3. Algorithm Deployment and Configuration</w:t>
      </w:r>
    </w:p>
    <w:p>
      <w:pPr>
        <w:pStyle w:val="BlockText"/>
      </w:pPr>
      <w:r>
        <w:t xml:space="preserve">Optional for ML-driven devices: after integration and before go-live, test the algorithm on</w:t>
      </w:r>
      <w:r>
        <w:t xml:space="preserve"> </w:t>
      </w:r>
      <w:r>
        <w:t xml:space="preserve">customer-specific live data (e.g. in the form of a</w:t>
      </w:r>
      <w:r>
        <w:t xml:space="preserve"> </w:t>
      </w:r>
      <w:r>
        <w:t xml:space="preserve">“</w:t>
      </w:r>
      <w:r>
        <w:t xml:space="preserve">shadow mode</w:t>
      </w:r>
      <w:r>
        <w:t xml:space="preserve">”</w:t>
      </w:r>
      <w:r>
        <w:t xml:space="preserve"> </w:t>
      </w:r>
      <w:r>
        <w:t xml:space="preserve">where algorithm results are not used in the</w:t>
      </w:r>
      <w:r>
        <w:t xml:space="preserve"> </w:t>
      </w:r>
      <w:r>
        <w:t xml:space="preserve">clinical setting yet). Evaluate the results together with users.</w:t>
      </w:r>
    </w:p>
    <w:p>
      <w:pPr>
        <w:pStyle w:val="FirstParagraph"/>
      </w:pPr>
      <w:r>
        <w:t xml:space="preserve">(…)</w:t>
      </w:r>
    </w:p>
    <w:bookmarkEnd w:id="27"/>
    <w:bookmarkStart w:id="28" w:name="user-administration"/>
    <w:p>
      <w:pPr>
        <w:pStyle w:val="Heading2"/>
      </w:pPr>
      <w:r>
        <w:t xml:space="preserve">2.4. User Administration</w:t>
      </w:r>
    </w:p>
    <w:p>
      <w:pPr>
        <w:pStyle w:val="BlockText"/>
      </w:pPr>
      <w:r>
        <w:t xml:space="preserve">Possible contents of this process step:</w:t>
      </w:r>
    </w:p>
    <w:p>
      <w:pPr>
        <w:pStyle w:val="Compact"/>
        <w:numPr>
          <w:ilvl w:val="0"/>
          <w:numId w:val="1006"/>
        </w:numPr>
      </w:pPr>
      <w:r>
        <w:t xml:space="preserve">The operations team is responsible to activate users accounts according to the customer contract.</w:t>
      </w:r>
    </w:p>
    <w:p>
      <w:pPr>
        <w:pStyle w:val="Compact"/>
        <w:numPr>
          <w:ilvl w:val="0"/>
          <w:numId w:val="1006"/>
        </w:numPr>
      </w:pPr>
      <w:r>
        <w:t xml:space="preserve">No user account is activated without / before</w:t>
      </w:r>
    </w:p>
    <w:p>
      <w:pPr>
        <w:pStyle w:val="Compact"/>
        <w:numPr>
          <w:ilvl w:val="1"/>
          <w:numId w:val="1007"/>
        </w:numPr>
      </w:pPr>
      <w:r>
        <w:t xml:space="preserve">Specification in the customer contract (e.g. number of seats?)</w:t>
      </w:r>
    </w:p>
    <w:p>
      <w:pPr>
        <w:pStyle w:val="Compact"/>
        <w:numPr>
          <w:ilvl w:val="1"/>
          <w:numId w:val="1007"/>
        </w:numPr>
      </w:pPr>
      <w:r>
        <w:t xml:space="preserve">Full completion of previous process steps (e.g. algorithm test)</w:t>
      </w:r>
    </w:p>
    <w:p>
      <w:pPr>
        <w:pStyle w:val="Compact"/>
        <w:numPr>
          <w:ilvl w:val="1"/>
          <w:numId w:val="1007"/>
        </w:numPr>
      </w:pPr>
      <w:r>
        <w:t xml:space="preserve">Optional to add here: user consent according to GDPR?</w:t>
      </w:r>
    </w:p>
    <w:p>
      <w:pPr>
        <w:pStyle w:val="FirstParagraph"/>
      </w:pPr>
      <w:r>
        <w:t xml:space="preserve">(…)</w:t>
      </w:r>
    </w:p>
    <w:bookmarkEnd w:id="28"/>
    <w:bookmarkStart w:id="29" w:name="user-training"/>
    <w:p>
      <w:pPr>
        <w:pStyle w:val="Heading2"/>
      </w:pPr>
      <w:r>
        <w:t xml:space="preserve">2.5. User Training</w:t>
      </w:r>
    </w:p>
    <w:p>
      <w:pPr>
        <w:pStyle w:val="BlockText"/>
      </w:pPr>
      <w:r>
        <w:t xml:space="preserve">Possible contents of this process step:</w:t>
      </w:r>
    </w:p>
    <w:p>
      <w:pPr>
        <w:pStyle w:val="Compact"/>
        <w:numPr>
          <w:ilvl w:val="0"/>
          <w:numId w:val="1008"/>
        </w:numPr>
      </w:pPr>
      <w:r>
        <w:t xml:space="preserve">The operations team is responsible to provide users with the instructions for use / user manual. If not</w:t>
      </w:r>
      <w:r>
        <w:t xml:space="preserve"> </w:t>
      </w:r>
      <w:r>
        <w:t xml:space="preserve">part of the device, provision via email is sufficient.</w:t>
      </w:r>
    </w:p>
    <w:p>
      <w:pPr>
        <w:pStyle w:val="Compact"/>
        <w:numPr>
          <w:ilvl w:val="0"/>
          <w:numId w:val="1008"/>
        </w:numPr>
      </w:pPr>
      <w:r>
        <w:t xml:space="preserve">The operations team conducts user training as defined in the user training strategy and documents every</w:t>
      </w:r>
      <w:r>
        <w:t xml:space="preserve"> </w:t>
      </w:r>
      <w:r>
        <w:t xml:space="preserve">training in the template for user training records.</w:t>
      </w:r>
    </w:p>
    <w:p>
      <w:pPr>
        <w:pStyle w:val="Compact"/>
        <w:numPr>
          <w:ilvl w:val="0"/>
          <w:numId w:val="1008"/>
        </w:numPr>
      </w:pPr>
      <w:r>
        <w:t xml:space="preserve">The operations team informs the sales and regulatory team about successfully completed training.</w:t>
      </w:r>
    </w:p>
    <w:p>
      <w:pPr>
        <w:pStyle w:val="FirstParagraph"/>
      </w:pPr>
      <w:r>
        <w:t xml:space="preserve">(…)</w:t>
      </w:r>
    </w:p>
    <w:bookmarkEnd w:id="29"/>
    <w:bookmarkStart w:id="30" w:name="handling-of-feedback"/>
    <w:p>
      <w:pPr>
        <w:pStyle w:val="Heading2"/>
      </w:pPr>
      <w:r>
        <w:t xml:space="preserve">2.6. Handling of Feedback</w:t>
      </w:r>
    </w:p>
    <w:p>
      <w:pPr>
        <w:pStyle w:val="FirstParagraph"/>
      </w:pPr>
      <w:r>
        <w:t xml:space="preserve">In case the operations team receives feedback (questions, complaints, praise, etc.) regarding the</w:t>
      </w:r>
      <w:r>
        <w:t xml:space="preserve"> </w:t>
      </w:r>
      <w:r>
        <w:t xml:space="preserve">organization’s medical devices and services, it proceeds as outlined in the SOP feedback management.</w:t>
      </w:r>
    </w:p>
    <w:bookmarkEnd w:id="30"/>
    <w:bookmarkStart w:id="31" w:name="handling-of-updates"/>
    <w:p>
      <w:pPr>
        <w:pStyle w:val="Heading2"/>
      </w:pPr>
      <w:r>
        <w:t xml:space="preserve">2.7. Handling of Updates</w:t>
      </w:r>
    </w:p>
    <w:p>
      <w:pPr>
        <w:pStyle w:val="BlockText"/>
      </w:pPr>
      <w:r>
        <w:t xml:space="preserve">Possible contents of this process step:</w:t>
      </w:r>
    </w:p>
    <w:p>
      <w:pPr>
        <w:pStyle w:val="Compact"/>
        <w:numPr>
          <w:ilvl w:val="0"/>
          <w:numId w:val="1009"/>
        </w:numPr>
      </w:pPr>
      <w:r>
        <w:t xml:space="preserve">In case of a version update, the operations team verifies if the integration requirements change due to</w:t>
      </w:r>
      <w:r>
        <w:t xml:space="preserve"> </w:t>
      </w:r>
      <w:r>
        <w:t xml:space="preserve">the update and, if necessary, implements changes accordingly.</w:t>
      </w:r>
    </w:p>
    <w:p>
      <w:pPr>
        <w:pStyle w:val="Compact"/>
        <w:numPr>
          <w:ilvl w:val="0"/>
          <w:numId w:val="1009"/>
        </w:numPr>
      </w:pPr>
      <w:r>
        <w:t xml:space="preserve">The operations team coordinates updates with the customer prior to deployment and, if applicable, notifies</w:t>
      </w:r>
      <w:r>
        <w:t xml:space="preserve"> </w:t>
      </w:r>
      <w:r>
        <w:t xml:space="preserve">the customer of potential product downtime according to the timeframe stated in customer contracts.</w:t>
      </w:r>
    </w:p>
    <w:p>
      <w:pPr>
        <w:pStyle w:val="Compact"/>
        <w:numPr>
          <w:ilvl w:val="0"/>
          <w:numId w:val="1009"/>
        </w:numPr>
      </w:pPr>
      <w:r>
        <w:t xml:space="preserve">After deployment, the latest deployed version is documented in the medical device list.</w:t>
      </w:r>
    </w:p>
    <w:p>
      <w:pPr>
        <w:pStyle w:val="FirstParagraph"/>
      </w:pPr>
      <w:r>
        <w:t xml:space="preserve">(…)</w:t>
      </w:r>
    </w:p>
    <w:bookmarkEnd w:id="31"/>
    <w:bookmarkStart w:id="34" w:name="handling-of-terminated-contracts"/>
    <w:p>
      <w:pPr>
        <w:pStyle w:val="Heading2"/>
      </w:pPr>
      <w:r>
        <w:t xml:space="preserve">2.8. Handling of Terminated Contracts</w:t>
      </w:r>
    </w:p>
    <w:p>
      <w:pPr>
        <w:pStyle w:val="BlockText"/>
      </w:pPr>
      <w:r>
        <w:t xml:space="preserve">Possible contents of this process step:</w:t>
      </w:r>
    </w:p>
    <w:p>
      <w:pPr>
        <w:pStyle w:val="Compact"/>
        <w:numPr>
          <w:ilvl w:val="0"/>
          <w:numId w:val="1010"/>
        </w:numPr>
      </w:pPr>
      <w:r>
        <w:t xml:space="preserve">The sales team notifies the operations team in case of a terminated contract. Thereafter, the operations</w:t>
      </w:r>
      <w:r>
        <w:t xml:space="preserve"> </w:t>
      </w:r>
      <w:r>
        <w:t xml:space="preserve">team is responsible for deactivating respective user accounts.</w:t>
      </w:r>
    </w:p>
    <w:p>
      <w:pPr>
        <w:pStyle w:val="Compact"/>
        <w:numPr>
          <w:ilvl w:val="0"/>
          <w:numId w:val="1010"/>
        </w:numPr>
      </w:pPr>
      <w:r>
        <w:t xml:space="preserve">The medical device list is updated accordingly.</w:t>
      </w:r>
    </w:p>
    <w:p>
      <w:pPr>
        <w:pStyle w:val="Compact"/>
        <w:numPr>
          <w:ilvl w:val="0"/>
          <w:numId w:val="1010"/>
        </w:numPr>
      </w:pPr>
      <w:r>
        <w:t xml:space="preserve">If required, the operations team is responsible to support the customer with necessary data migration and</w:t>
      </w:r>
      <w:r>
        <w:t xml:space="preserve"> </w:t>
      </w:r>
      <w:r>
        <w:t xml:space="preserve">archives data related to the respective customer according to GDPR requirements (reference privacy policy</w:t>
      </w:r>
      <w:r>
        <w:t xml:space="preserve"> </w:t>
      </w:r>
      <w:r>
        <w:t xml:space="preserve">or similar here).</w:t>
      </w:r>
    </w:p>
    <w:p>
      <w:pPr>
        <w:pStyle w:val="FirstParagraph"/>
      </w:pPr>
      <w:r>
        <w:t xml:space="preserve">(…)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32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33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34"/>
    <w:bookmarkEnd w:id="35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32" Target="https://openregulatory.com" TargetMode="External" /><Relationship Type="http://schemas.openxmlformats.org/officeDocument/2006/relationships/hyperlink" Id="rId33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32" Target="https://openregulatory.com" TargetMode="External" /><Relationship Type="http://schemas.openxmlformats.org/officeDocument/2006/relationships/hyperlink" Id="rId33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2024-06-04T04:34:31Z</dcterms:created>
  <dcterms:modified xsi:type="dcterms:W3CDTF">2024-06-04T04:34:31Z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