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7" w:name="sop-integrated-software-development"/>
    <w:p>
      <w:pPr>
        <w:pStyle w:val="Heading1"/>
      </w:pPr>
      <w:r>
        <w:t xml:space="preserve">SOP Integrated Software Development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3, 7, 10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6, 12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7.3.1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4, 6, 8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3, 4, 5, 6, 8, 9, 10, 11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3, 4, 5, 6, 8, 9, 10, 11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3, 4, 5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/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775"/>
        <w:gridCol w:w="4915"/>
        <w:gridCol w:w="1228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Prepare Use Specification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 User Interface design, implementation and Formative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4, 5, 6, 7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software as a medical device is developed. It integrates risk management and usability</w:t>
      </w:r>
      <w:r>
        <w:t xml:space="preserve"> </w:t>
      </w:r>
      <w:r>
        <w:t xml:space="preserve">engineering activities into the process.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KPIs to be tracked for the Management Review&gt;</w:t>
            </w:r>
          </w:p>
        </w:tc>
      </w:tr>
    </w:tbl>
    <w:bookmarkEnd w:id="20"/>
    <w:bookmarkStart w:id="22" w:name="general-notes"/>
    <w:p>
      <w:pPr>
        <w:pStyle w:val="Heading2"/>
      </w:pPr>
      <w:r>
        <w:t xml:space="preserve">General Notes</w:t>
      </w:r>
    </w:p>
    <w:bookmarkStart w:id="21" w:name="integrated-process-evolutionary-strategy"/>
    <w:p>
      <w:pPr>
        <w:pStyle w:val="Heading3"/>
      </w:pPr>
      <w:r>
        <w:t xml:space="preserve">Integrated Process, Evolutionary Strategy</w:t>
      </w:r>
    </w:p>
    <w:p>
      <w:pPr>
        <w:pStyle w:val="FirstParagraph"/>
      </w:pPr>
      <w:r>
        <w:t xml:space="preserve">This process integrates risk management and usability evaluation activities into the software development</w:t>
      </w:r>
      <w:r>
        <w:t xml:space="preserve"> </w:t>
      </w:r>
      <w:r>
        <w:t xml:space="preserve">process. It, therefore, covers requirements of IEC 62304, ISO 14971 and IEC 62366. There are no separate risk</w:t>
      </w:r>
      <w:r>
        <w:t xml:space="preserve"> </w:t>
      </w:r>
      <w:r>
        <w:t xml:space="preserve">management and usability engineering processes.</w:t>
      </w:r>
    </w:p>
    <w:p>
      <w:pPr>
        <w:pStyle w:val="BodyText"/>
      </w:pPr>
      <w:r>
        <w:t xml:space="preserve">The Software Development Process described in this SOP resembles an</w:t>
      </w:r>
      <w:r>
        <w:t xml:space="preserve"> </w:t>
      </w:r>
      <w:r>
        <w:t xml:space="preserve">“</w:t>
      </w:r>
      <w:r>
        <w:t xml:space="preserve">evolutionary</w:t>
      </w:r>
      <w:r>
        <w:t xml:space="preserve">”</w:t>
      </w:r>
      <w:r>
        <w:t xml:space="preserve"> </w:t>
      </w:r>
      <w:r>
        <w:t xml:space="preserve">strategy (IEC 62304:2006,</w:t>
      </w:r>
      <w:r>
        <w:t xml:space="preserve"> </w:t>
      </w:r>
      <w:r>
        <w:t xml:space="preserve">Annex B), acknowledging that the user need is not fully understood and not all requirements are defined up</w:t>
      </w:r>
      <w:r>
        <w:t xml:space="preserve"> </w:t>
      </w:r>
      <w:r>
        <w:t xml:space="preserve">front. Whenever requirements change, the preceding process steps and their outputs need to be re-done to</w:t>
      </w:r>
      <w:r>
        <w:t xml:space="preserve"> </w:t>
      </w:r>
      <w:r>
        <w:t xml:space="preserve">ensure consistent and complete documentation.</w:t>
      </w:r>
    </w:p>
    <w:bookmarkEnd w:id="21"/>
    <w:bookmarkEnd w:id="22"/>
    <w:bookmarkStart w:id="36" w:name="process-steps"/>
    <w:p>
      <w:pPr>
        <w:pStyle w:val="Heading2"/>
      </w:pPr>
      <w:r>
        <w:t xml:space="preserve">Process Steps</w:t>
      </w:r>
    </w:p>
    <w:bookmarkStart w:id="23" w:name="design-input"/>
    <w:p>
      <w:pPr>
        <w:pStyle w:val="Heading3"/>
      </w:pPr>
      <w:r>
        <w:t xml:space="preserve">1. Design Input</w:t>
      </w:r>
    </w:p>
    <w:p>
      <w:pPr>
        <w:pStyle w:val="FirstParagraph"/>
      </w:pPr>
      <w:r>
        <w:t xml:space="preserve">Based on business input and product ideas, the process for product certification and registration is initiated</w:t>
      </w:r>
      <w:r>
        <w:t xml:space="preserve"> </w:t>
      </w:r>
      <w:r>
        <w:t xml:space="preserve">to create an initial device description (incl. medical device classification and software safety</w:t>
      </w:r>
      <w:r>
        <w:t xml:space="preserve"> </w:t>
      </w:r>
      <w:r>
        <w:t xml:space="preserve">classification) and high-level vision for the planned product. Technical input is considered to assess whether</w:t>
      </w:r>
      <w:r>
        <w:t xml:space="preserve"> </w:t>
      </w:r>
      <w:r>
        <w:t xml:space="preserve">the idea is feasible.</w:t>
      </w:r>
    </w:p>
    <w:p>
      <w:pPr>
        <w:pStyle w:val="BodyText"/>
      </w:pPr>
      <w:r>
        <w:t xml:space="preserve">Business input could be:</w:t>
      </w:r>
    </w:p>
    <w:p>
      <w:pPr>
        <w:pStyle w:val="Compact"/>
        <w:numPr>
          <w:ilvl w:val="0"/>
          <w:numId w:val="1001"/>
        </w:numPr>
      </w:pPr>
      <w:r>
        <w:t xml:space="preserve">Conversations with prospective customers</w:t>
      </w:r>
    </w:p>
    <w:p>
      <w:pPr>
        <w:pStyle w:val="Compact"/>
        <w:numPr>
          <w:ilvl w:val="0"/>
          <w:numId w:val="1001"/>
        </w:numPr>
      </w:pPr>
      <w:r>
        <w:t xml:space="preserve">Market opportunities</w:t>
      </w:r>
    </w:p>
    <w:p>
      <w:pPr>
        <w:pStyle w:val="Compact"/>
        <w:numPr>
          <w:ilvl w:val="0"/>
          <w:numId w:val="1001"/>
        </w:numPr>
      </w:pPr>
      <w:r>
        <w:t xml:space="preserve">Internal ideas</w:t>
      </w:r>
    </w:p>
    <w:p>
      <w:pPr>
        <w:pStyle w:val="FirstParagraph"/>
      </w:pPr>
      <w:r>
        <w:t xml:space="preserve">Changes to the product also enter the process here (i.e., as a change request as defined in SOP Change</w:t>
      </w:r>
      <w:r>
        <w:t xml:space="preserve"> </w:t>
      </w:r>
      <w:r>
        <w:t xml:space="preserve">Management).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880"/>
        <w:gridCol w:w="70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(e.g. CEO, CTO, CPO)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Business input, Technical input, Product ideas, Change requests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Intended use, Medical device classification, Device software safety classification (preliminary)</w:t>
            </w:r>
          </w:p>
        </w:tc>
      </w:tr>
    </w:tbl>
    <w:bookmarkEnd w:id="23"/>
    <w:bookmarkStart w:id="24" w:name="risk-management-planning"/>
    <w:p>
      <w:pPr>
        <w:pStyle w:val="Heading3"/>
      </w:pPr>
      <w:r>
        <w:t xml:space="preserve">2. Risk Management Planning</w:t>
      </w:r>
    </w:p>
    <w:p>
      <w:pPr>
        <w:pStyle w:val="FirstParagraph"/>
      </w:pPr>
      <w:r>
        <w:t xml:space="preserve">The risk management activities are planned and documented.</w:t>
      </w:r>
    </w:p>
    <w:p>
      <w:pPr>
        <w:pStyle w:val="BodyText"/>
      </w:pPr>
      <w:r>
        <w:t xml:space="preserve">The Risk Management Plan defines criteria for risk acceptability in the form of a risk policy and a risk</w:t>
      </w:r>
      <w:r>
        <w:t xml:space="preserve"> </w:t>
      </w:r>
      <w:r>
        <w:t xml:space="preserve">acceptance matrix. It defines risk acceptability both for individual risks and the overall residual risk. The</w:t>
      </w:r>
      <w:r>
        <w:t xml:space="preserve"> </w:t>
      </w:r>
      <w:r>
        <w:t xml:space="preserve">risk acceptance matrix is created by performing the following steps:</w:t>
      </w:r>
    </w:p>
    <w:p>
      <w:pPr>
        <w:pStyle w:val="Compact"/>
        <w:numPr>
          <w:ilvl w:val="0"/>
          <w:numId w:val="1002"/>
        </w:numPr>
      </w:pPr>
      <w:r>
        <w:t xml:space="preserve">Estimate product usage over its lifetime</w:t>
      </w:r>
    </w:p>
    <w:p>
      <w:pPr>
        <w:pStyle w:val="Compact"/>
        <w:numPr>
          <w:ilvl w:val="0"/>
          <w:numId w:val="1002"/>
        </w:numPr>
      </w:pPr>
      <w:r>
        <w:t xml:space="preserve">Define categories for the severity of harm (for example, categories may range from zero harm to death of a</w:t>
      </w:r>
      <w:r>
        <w:t xml:space="preserve"> </w:t>
      </w:r>
      <w:r>
        <w:t xml:space="preserve">patient)</w:t>
      </w:r>
    </w:p>
    <w:p>
      <w:pPr>
        <w:pStyle w:val="Compact"/>
        <w:numPr>
          <w:ilvl w:val="0"/>
          <w:numId w:val="1002"/>
        </w:numPr>
      </w:pPr>
      <w:r>
        <w:t xml:space="preserve">Define probability categories (for example, categories may range from</w:t>
      </w:r>
      <w:r>
        <w:t xml:space="preserve"> </w:t>
      </w:r>
      <w:r>
        <w:t xml:space="preserve">“</w:t>
      </w:r>
      <w:r>
        <w:t xml:space="preserve">unthinkable’ over</w:t>
      </w:r>
      <w:r>
        <w:t xml:space="preserve">”</w:t>
      </w:r>
      <w:r>
        <w:t xml:space="preserve">rare’ to</w:t>
      </w:r>
      <w:r>
        <w:t xml:space="preserve"> </w:t>
      </w:r>
      <w:r>
        <w:t xml:space="preserve">“certain’).</w:t>
      </w:r>
    </w:p>
    <w:p>
      <w:pPr>
        <w:pStyle w:val="Compact"/>
        <w:numPr>
          <w:ilvl w:val="0"/>
          <w:numId w:val="1002"/>
        </w:numPr>
      </w:pPr>
      <w:r>
        <w:t xml:space="preserve">Start by defining the least probable category which has an absolute occurrence number of less than one. From</w:t>
      </w:r>
      <w:r>
        <w:t xml:space="preserve"> </w:t>
      </w:r>
      <w:r>
        <w:t xml:space="preserve">there on, the more frequently occurring categories are added with probability increments of 10^2.</w:t>
      </w:r>
    </w:p>
    <w:p>
      <w:pPr>
        <w:pStyle w:val="Compact"/>
        <w:numPr>
          <w:ilvl w:val="0"/>
          <w:numId w:val="1002"/>
        </w:numPr>
      </w:pPr>
      <w:r>
        <w:t xml:space="preserve">Create the risk acceptance matrix and define which combinations of the categories are deemed acceptable. Use</w:t>
      </w:r>
      <w:r>
        <w:t xml:space="preserve"> </w:t>
      </w:r>
      <w:r>
        <w:t xml:space="preserve">color coding: red combinations represent unacceptable risks; yellow combinations represent risks that are</w:t>
      </w:r>
      <w:r>
        <w:t xml:space="preserve"> </w:t>
      </w:r>
      <w:r>
        <w:t xml:space="preserve">acceptable.</w:t>
      </w:r>
    </w:p>
    <w:p>
      <w:pPr>
        <w:pStyle w:val="Compact"/>
        <w:numPr>
          <w:ilvl w:val="0"/>
          <w:numId w:val="1002"/>
        </w:numPr>
      </w:pPr>
      <w:r>
        <w:t xml:space="preserve">Note: no fields are marked as green as all risks must be reduced as far as possible.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CPO, subject matter experts, e.g. physicians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 Plan, Usability Evaluation Plan</w:t>
            </w:r>
          </w:p>
        </w:tc>
      </w:tr>
    </w:tbl>
    <w:bookmarkEnd w:id="24"/>
    <w:bookmarkStart w:id="25" w:name="X40589f3cc1222bd46c8e519c425a660c6ba3ce0"/>
    <w:p>
      <w:pPr>
        <w:pStyle w:val="Heading3"/>
      </w:pPr>
      <w:r>
        <w:t xml:space="preserve">3. First Risk Assessment and Usability Evaluation Planning</w:t>
      </w:r>
    </w:p>
    <w:p>
      <w:pPr>
        <w:pStyle w:val="FirstParagraph"/>
      </w:pPr>
      <w:r>
        <w:t xml:space="preserve">In the first risk and usability assessment, a preliminary hazard analysis is conducted and an initial risk</w:t>
      </w:r>
      <w:r>
        <w:t xml:space="preserve"> </w:t>
      </w:r>
      <w:r>
        <w:t xml:space="preserve">table is drafted.</w:t>
      </w:r>
    </w:p>
    <w:p>
      <w:pPr>
        <w:pStyle w:val="BodyText"/>
      </w:pPr>
      <w:r>
        <w:t xml:space="preserve">Risk analysis is performed by conducting a Failure Mode and Effects Analysis (FMEA). This analysis includes</w:t>
      </w:r>
      <w:r>
        <w:t xml:space="preserve"> </w:t>
      </w:r>
      <w:r>
        <w:t xml:space="preserve">the following activities:</w:t>
      </w:r>
    </w:p>
    <w:p>
      <w:pPr>
        <w:pStyle w:val="Compact"/>
        <w:numPr>
          <w:ilvl w:val="0"/>
          <w:numId w:val="1003"/>
        </w:numPr>
      </w:pPr>
      <w:r>
        <w:t xml:space="preserve">Identifying potential failure modes</w:t>
      </w:r>
    </w:p>
    <w:p>
      <w:pPr>
        <w:pStyle w:val="Compact"/>
        <w:numPr>
          <w:ilvl w:val="0"/>
          <w:numId w:val="1003"/>
        </w:numPr>
      </w:pPr>
      <w:r>
        <w:t xml:space="preserve">Identifying potential hazards, hazardous situations and harms in collaboration with subject matter experts</w:t>
      </w:r>
      <w:r>
        <w:t xml:space="preserve"> </w:t>
      </w:r>
      <w:r>
        <w:t xml:space="preserve">(e.g. physicians)</w:t>
      </w:r>
    </w:p>
    <w:p>
      <w:pPr>
        <w:pStyle w:val="Compact"/>
        <w:numPr>
          <w:ilvl w:val="0"/>
          <w:numId w:val="1003"/>
        </w:numPr>
      </w:pPr>
      <w:r>
        <w:t xml:space="preserve">Estimating probabilities for the identified items and analyzing the severity of each harm, taking into</w:t>
      </w:r>
      <w:r>
        <w:t xml:space="preserve"> </w:t>
      </w:r>
      <w:r>
        <w:t xml:space="preserve">account international standards, scientific studies, public reports, expert opinions and usability data.</w:t>
      </w:r>
    </w:p>
    <w:p>
      <w:pPr>
        <w:pStyle w:val="Compact"/>
        <w:numPr>
          <w:ilvl w:val="0"/>
          <w:numId w:val="1003"/>
        </w:numPr>
      </w:pPr>
      <w:r>
        <w:t xml:space="preserve">For software devices, the probability of occurrence of a hazard is assumed as 100%. The probability of each</w:t>
      </w:r>
      <w:r>
        <w:t xml:space="preserve"> </w:t>
      </w:r>
      <w:r>
        <w:t xml:space="preserve">hazard leading to a hazardous situation and that leading to a harm must be estimated separately as part of</w:t>
      </w:r>
      <w:r>
        <w:t xml:space="preserve"> </w:t>
      </w:r>
      <w:r>
        <w:t xml:space="preserve">the risk analysis. Multiplied, they present the overall probability per risk. In combination, overall</w:t>
      </w:r>
      <w:r>
        <w:t xml:space="preserve"> </w:t>
      </w:r>
      <w:r>
        <w:t xml:space="preserve">probability of occurrence and the severity of harm are evaluated against the risk policy previously defined</w:t>
      </w:r>
      <w:r>
        <w:t xml:space="preserve"> </w:t>
      </w:r>
      <w:r>
        <w:t xml:space="preserve">for the device.</w:t>
      </w:r>
    </w:p>
    <w:p>
      <w:pPr>
        <w:pStyle w:val="FirstParagraph"/>
      </w:pPr>
      <w:r>
        <w:t xml:space="preserve">If a risk is deemed unacceptable based on our Risk Policy, it may be mitigated through Risk Control Measures</w:t>
      </w:r>
      <w:r>
        <w:t xml:space="preserve"> </w:t>
      </w:r>
      <w:r>
        <w:t xml:space="preserve">in the priority as listed below. In general, we try to reduce the severity and probability of risks as far as</w:t>
      </w:r>
      <w:r>
        <w:t xml:space="preserve"> </w:t>
      </w:r>
      <w:r>
        <w:t xml:space="preserve">possible (AFAP).</w:t>
      </w:r>
    </w:p>
    <w:p>
      <w:pPr>
        <w:pStyle w:val="Compact"/>
        <w:numPr>
          <w:ilvl w:val="0"/>
          <w:numId w:val="1004"/>
        </w:numPr>
      </w:pPr>
      <w:r>
        <w:t xml:space="preserve">Inherently safe design</w:t>
      </w:r>
    </w:p>
    <w:p>
      <w:pPr>
        <w:pStyle w:val="Compact"/>
        <w:numPr>
          <w:ilvl w:val="0"/>
          <w:numId w:val="1004"/>
        </w:numPr>
      </w:pPr>
      <w:r>
        <w:t xml:space="preserve">Protective measures in the device or development process</w:t>
      </w:r>
    </w:p>
    <w:p>
      <w:pPr>
        <w:pStyle w:val="Compact"/>
        <w:numPr>
          <w:ilvl w:val="0"/>
          <w:numId w:val="1004"/>
        </w:numPr>
      </w:pPr>
      <w:r>
        <w:t xml:space="preserve">Information for safety and/or training of users</w:t>
      </w:r>
    </w:p>
    <w:p>
      <w:pPr>
        <w:pStyle w:val="FirstParagraph"/>
      </w:pPr>
      <w:r>
        <w:t xml:space="preserve">Further, a usability evaluation plan is created which covers future formative and summative usability</w:t>
      </w:r>
      <w:r>
        <w:t xml:space="preserve"> </w:t>
      </w:r>
      <w:r>
        <w:t xml:space="preserve">evaluation activities.</w:t>
      </w:r>
    </w:p>
    <w:p>
      <w:pPr>
        <w:pStyle w:val="BodyText"/>
      </w:pPr>
      <w:r>
        <w:t xml:space="preserve">User needs with a focus on those related to hazards are specified. These will serve as input to the</w:t>
      </w:r>
      <w:r>
        <w:t xml:space="preserve"> </w:t>
      </w:r>
      <w:r>
        <w:t xml:space="preserve">summative usability evaluation and are reviewed following the checklist for user needs review.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203"/>
        <w:gridCol w:w="6716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CPO, subject matter experts, e.g. physicians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Description, Risk Management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Preliminary Hazards Analysis, Risk Table incl. Risk Acceptance Matrix (Draft), User Needs, User Needs Review Checklist, Usability Evaluation Plan</w:t>
            </w:r>
          </w:p>
        </w:tc>
      </w:tr>
    </w:tbl>
    <w:bookmarkEnd w:id="25"/>
    <w:bookmarkStart w:id="26" w:name="software-planning"/>
    <w:p>
      <w:pPr>
        <w:pStyle w:val="Heading3"/>
      </w:pPr>
      <w:r>
        <w:t xml:space="preserve">4. Software Planning</w:t>
      </w:r>
    </w:p>
    <w:p>
      <w:pPr>
        <w:pStyle w:val="FirstParagraph"/>
      </w:pPr>
      <w:r>
        <w:t xml:space="preserve">Based on the device description, the user needs and the preliminary risk analysis, the next step is to plan</w:t>
      </w:r>
      <w:r>
        <w:t xml:space="preserve"> </w:t>
      </w:r>
      <w:r>
        <w:t xml:space="preserve">software development by defining software requirements. These also include the user interface specification,</w:t>
      </w:r>
      <w:r>
        <w:t xml:space="preserve"> </w:t>
      </w:r>
      <w:r>
        <w:t xml:space="preserve">e.g. wireframes, mockups or style guides.</w:t>
      </w:r>
    </w:p>
    <w:p>
      <w:pPr>
        <w:pStyle w:val="BodyText"/>
      </w:pPr>
      <w:r>
        <w:t xml:space="preserve">A software development and maintenance plan is created following our template. Software versioning is to be</w:t>
      </w:r>
      <w:r>
        <w:t xml:space="preserve"> </w:t>
      </w:r>
      <w:r>
        <w:t xml:space="preserve">specified in the plan and should typically follow semver, in a format: MAJOR.MINOR.PATCH. Significant changes</w:t>
      </w:r>
      <w:r>
        <w:t xml:space="preserve"> </w:t>
      </w:r>
      <w:r>
        <w:t xml:space="preserve">will lead to major version changes and a change of the UDI-DI, while non-significant changes lead to minor</w:t>
      </w:r>
      <w:r>
        <w:t xml:space="preserve"> </w:t>
      </w:r>
      <w:r>
        <w:t xml:space="preserve">version changes and changes of the UDI-PI only. Third-digit version changes (</w:t>
      </w:r>
      <w:r>
        <w:t xml:space="preserve">“</w:t>
      </w:r>
      <w:r>
        <w:t xml:space="preserve">patches</w:t>
      </w:r>
      <w:r>
        <w:t xml:space="preserve">”</w:t>
      </w:r>
      <w:r>
        <w:t xml:space="preserve">) result from bug fixes</w:t>
      </w:r>
      <w:r>
        <w:t xml:space="preserve"> </w:t>
      </w:r>
      <w:r>
        <w:t xml:space="preserve">(see SOP Change Management and SOP Certification and Registration).</w:t>
      </w:r>
    </w:p>
    <w:p>
      <w:pPr>
        <w:pStyle w:val="BodyText"/>
      </w:pPr>
      <w:r>
        <w:t xml:space="preserve">The software system test plan is created based on the requirements. As requirements may change, the software</w:t>
      </w:r>
      <w:r>
        <w:t xml:space="preserve"> </w:t>
      </w:r>
      <w:r>
        <w:t xml:space="preserve">system test plan is continuously updated to reflect those changes.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841"/>
        <w:gridCol w:w="7078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CTO, Software Engineer, Risk Manager, Usability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Description, Vision Document, Change Request, Risk Table (draft), Preliminary Hazards Analysis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Plan, Software Requirements incl. User Interface Specification, Software System Test Plan, Risk Table (updated)</w:t>
            </w:r>
          </w:p>
        </w:tc>
      </w:tr>
    </w:tbl>
    <w:bookmarkEnd w:id="26"/>
    <w:bookmarkStart w:id="27" w:name="first-review-software-planning-review"/>
    <w:p>
      <w:pPr>
        <w:pStyle w:val="Heading3"/>
      </w:pPr>
      <w:r>
        <w:t xml:space="preserve">5. First Review: Software Planning Review</w:t>
      </w:r>
    </w:p>
    <w:p>
      <w:pPr>
        <w:pStyle w:val="FirstParagraph"/>
      </w:pPr>
      <w:r>
        <w:t xml:space="preserve">Software requirements are reviewed by following the checklist for Software Requirements Review. If the review</w:t>
      </w:r>
      <w:r>
        <w:t xml:space="preserve"> </w:t>
      </w:r>
      <w:r>
        <w:t xml:space="preserve">is successful, move forward to the next step. If it’s not, the software requirements have to be reworked with</w:t>
      </w:r>
      <w:r>
        <w:t xml:space="preserve"> </w:t>
      </w:r>
      <w:r>
        <w:t xml:space="preserve">possible changes to the risk analysis and user needs. In that case, move back to the relevant step above.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000"/>
        <w:gridCol w:w="6919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CTO, CPO, Risk Manager, Usability Engineer, Subject matter experts, e.g. physicians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Requirements, Risk Table (draft), User Needs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Checklist Software Requirements Review (filled out)</w:t>
            </w:r>
          </w:p>
        </w:tc>
      </w:tr>
    </w:tbl>
    <w:bookmarkEnd w:id="27"/>
    <w:bookmarkStart w:id="28" w:name="Xd458e4c157cdfb8533c9f73a5607d0a20eae180"/>
    <w:p>
      <w:pPr>
        <w:pStyle w:val="Heading3"/>
      </w:pPr>
      <w:r>
        <w:t xml:space="preserve">6. Software Architecture, Detailed Design and Implementation</w:t>
      </w:r>
    </w:p>
    <w:p>
      <w:pPr>
        <w:pStyle w:val="FirstParagraph"/>
      </w:pPr>
      <w:r>
        <w:t xml:space="preserve">Software architecture is created (and detailed design, if necessary). As the software development process</w:t>
      </w:r>
      <w:r>
        <w:t xml:space="preserve"> </w:t>
      </w:r>
      <w:r>
        <w:t xml:space="preserve">follows agile methodology, the software architecture may change as new knowledge is gained during</w:t>
      </w:r>
      <w:r>
        <w:t xml:space="preserve"> </w:t>
      </w:r>
      <w:r>
        <w:t xml:space="preserve">implementation. The end result should be that both the implementation and the documented software architecture</w:t>
      </w:r>
      <w:r>
        <w:t xml:space="preserve"> </w:t>
      </w:r>
      <w:r>
        <w:t xml:space="preserve">are synchronized.</w:t>
      </w:r>
    </w:p>
    <w:p>
      <w:pPr>
        <w:pStyle w:val="BodyText"/>
      </w:pPr>
      <w:r>
        <w:t xml:space="preserve">At a minimum, an architecture diagram showing all software systems including databases and networks is</w:t>
      </w:r>
      <w:r>
        <w:t xml:space="preserve"> </w:t>
      </w:r>
      <w:r>
        <w:t xml:space="preserve">created. For each software system, public interfaces, are documented, e.g. REST APIs, internal methods.</w:t>
      </w:r>
    </w:p>
    <w:p>
      <w:pPr>
        <w:pStyle w:val="BodyText"/>
      </w:pPr>
      <w:r>
        <w:t xml:space="preserve">SOUP is added/updated here, if necessary. For each SOUP, we specify the name, version, manufacturer, website</w:t>
      </w:r>
      <w:r>
        <w:t xml:space="preserve"> </w:t>
      </w:r>
      <w:r>
        <w:t xml:space="preserve">link (incl. release notes and issue tracker), requirements and prerequisites. SOUP must be verified before</w:t>
      </w:r>
      <w:r>
        <w:t xml:space="preserve"> </w:t>
      </w:r>
      <w:r>
        <w:t xml:space="preserve">moving to the next step. Possible SOUP verification criteria include sufficient test coverage by the author</w:t>
      </w:r>
      <w:r>
        <w:t xml:space="preserve"> </w:t>
      </w:r>
      <w:r>
        <w:t xml:space="preserve">and being commonly used; correct SOUP functioning is also verified through software verification and software</w:t>
      </w:r>
      <w:r>
        <w:t xml:space="preserve"> </w:t>
      </w:r>
      <w:r>
        <w:t xml:space="preserve">system testing in the following steps.</w:t>
      </w:r>
    </w:p>
    <w:p>
      <w:pPr>
        <w:pStyle w:val="BodyText"/>
      </w:pPr>
      <w:r>
        <w:t xml:space="preserve">If new risks relating to software units and potential failure modes are discovered during this phase, they are</w:t>
      </w:r>
      <w:r>
        <w:t xml:space="preserve"> </w:t>
      </w:r>
      <w:r>
        <w:t xml:space="preserve">added to the risk table.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922"/>
        <w:gridCol w:w="6997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CTO, Software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Plan, Software Requirements, Software System Test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Implemented Software Items, i.e. code, Software Architecture (created/updated), Software Detailed Design (created/updated), SOUP list (created/updated), Risk Table (updated)</w:t>
            </w:r>
          </w:p>
        </w:tc>
      </w:tr>
    </w:tbl>
    <w:bookmarkEnd w:id="28"/>
    <w:bookmarkStart w:id="29" w:name="X861f38dc6ef5c9be64e6c6dea8bbd6ae97b2e00"/>
    <w:p>
      <w:pPr>
        <w:pStyle w:val="Heading3"/>
      </w:pPr>
      <w:r>
        <w:t xml:space="preserve">7. Second Review, Verification, Formative Usability Evaluation, Integration</w:t>
      </w:r>
    </w:p>
    <w:p>
      <w:pPr>
        <w:pStyle w:val="FirstParagraph"/>
      </w:pPr>
      <w:r>
        <w:t xml:space="preserve">The second review covers multiple activities:</w:t>
      </w:r>
    </w:p>
    <w:p>
      <w:pPr>
        <w:pStyle w:val="Compact"/>
        <w:numPr>
          <w:ilvl w:val="0"/>
          <w:numId w:val="1005"/>
        </w:numPr>
      </w:pPr>
      <w:r>
        <w:rPr>
          <w:b/>
          <w:bCs/>
        </w:rPr>
        <w:t xml:space="preserve">Verification</w:t>
      </w:r>
      <w:r>
        <w:t xml:space="preserve"> </w:t>
      </w:r>
      <w:r>
        <w:t xml:space="preserve">of the software items based on code review and automated unit and integration tests</w:t>
      </w:r>
    </w:p>
    <w:p>
      <w:pPr>
        <w:pStyle w:val="Compact"/>
        <w:numPr>
          <w:ilvl w:val="0"/>
          <w:numId w:val="1005"/>
        </w:numPr>
      </w:pPr>
      <w:r>
        <w:rPr>
          <w:b/>
          <w:bCs/>
        </w:rPr>
        <w:t xml:space="preserve">Formative Usability Evaluation</w:t>
      </w:r>
      <w:r>
        <w:t xml:space="preserve"> </w:t>
      </w:r>
      <w:r>
        <w:t xml:space="preserve">through a usability engineer whether the user interface has been</w:t>
      </w:r>
      <w:r>
        <w:t xml:space="preserve"> </w:t>
      </w:r>
      <w:r>
        <w:t xml:space="preserve">implemented as specified</w:t>
      </w:r>
    </w:p>
    <w:p>
      <w:pPr>
        <w:pStyle w:val="FirstParagraph"/>
      </w:pPr>
      <w:r>
        <w:t xml:space="preserve">Code review is conducted based on the following criteria:</w:t>
      </w:r>
    </w:p>
    <w:p>
      <w:pPr>
        <w:pStyle w:val="Compact"/>
        <w:numPr>
          <w:ilvl w:val="0"/>
          <w:numId w:val="1006"/>
        </w:numPr>
      </w:pPr>
      <w:r>
        <w:t xml:space="preserve">Are all software requirements, software architecture and detailed design implemented correctly?</w:t>
      </w:r>
    </w:p>
    <w:p>
      <w:pPr>
        <w:pStyle w:val="Compact"/>
        <w:numPr>
          <w:ilvl w:val="0"/>
          <w:numId w:val="1006"/>
        </w:numPr>
      </w:pPr>
      <w:r>
        <w:t xml:space="preserve">Does the code adhere to coding guidelines which include requirements for documentation as specified in the</w:t>
      </w:r>
      <w:r>
        <w:t xml:space="preserve"> </w:t>
      </w:r>
      <w:r>
        <w:t xml:space="preserve">Software Development and Maintenance Plan?</w:t>
      </w:r>
    </w:p>
    <w:p>
      <w:pPr>
        <w:pStyle w:val="FirstParagraph"/>
      </w:pPr>
      <w:r>
        <w:t xml:space="preserve">Upon successful verification, the implemented software requirement is integrated into the current code base as</w:t>
      </w:r>
      <w:r>
        <w:t xml:space="preserve"> </w:t>
      </w:r>
      <w:r>
        <w:t xml:space="preserve">described in the Software Development and Maintenance Plan. The software units may be integrated only if all</w:t>
      </w:r>
      <w:r>
        <w:t xml:space="preserve"> </w:t>
      </w:r>
      <w:r>
        <w:t xml:space="preserve">activities above were successful.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880"/>
        <w:gridCol w:w="70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Engineer, Usability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Implemented Software Unit(s) incl. User Interface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Code review result, Unit / Integration test result(s), Formative Usability Evaluation Assessment</w:t>
            </w:r>
          </w:p>
        </w:tc>
      </w:tr>
    </w:tbl>
    <w:bookmarkEnd w:id="29"/>
    <w:bookmarkStart w:id="30" w:name="software-system-testing"/>
    <w:p>
      <w:pPr>
        <w:pStyle w:val="Heading3"/>
      </w:pPr>
      <w:r>
        <w:t xml:space="preserve">8. Software System Testing</w:t>
      </w:r>
    </w:p>
    <w:p>
      <w:pPr>
        <w:pStyle w:val="FirstParagraph"/>
      </w:pPr>
      <w:r>
        <w:t xml:space="preserve">Based on the Software System Test Plan, software system tests covering all software requirements are</w:t>
      </w:r>
      <w:r>
        <w:t xml:space="preserve"> </w:t>
      </w:r>
      <w:r>
        <w:t xml:space="preserve">performed.</w:t>
      </w:r>
    </w:p>
    <w:p>
      <w:pPr>
        <w:pStyle w:val="BodyText"/>
      </w:pPr>
      <w:r>
        <w:t xml:space="preserve">If new risks are discovered during the system tests, they are added to the risk table.</w:t>
      </w:r>
    </w:p>
    <w:p>
      <w:pPr>
        <w:pStyle w:val="BodyText"/>
      </w:pPr>
      <w:r>
        <w:t xml:space="preserve">If anomalies are encountered, they are added to the list of known anomalies and/or entered as new software</w:t>
      </w:r>
      <w:r>
        <w:t xml:space="preserve"> </w:t>
      </w:r>
      <w:r>
        <w:t xml:space="preserve">requirements to be fixed.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742"/>
        <w:gridCol w:w="7177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 Test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 Test Protocols, Software System Test Report, Risk Table (updated), List of known anomalies (updated)</w:t>
            </w:r>
          </w:p>
        </w:tc>
      </w:tr>
    </w:tbl>
    <w:bookmarkEnd w:id="30"/>
    <w:bookmarkStart w:id="31" w:name="X7ab24cc54fa78f6f452b0f726571e3d49223d0f"/>
    <w:p>
      <w:pPr>
        <w:pStyle w:val="Heading3"/>
      </w:pPr>
      <w:r>
        <w:t xml:space="preserve">9. Validation / Summative Usability Evaluation</w:t>
      </w:r>
    </w:p>
    <w:p>
      <w:pPr>
        <w:pStyle w:val="FirstParagraph"/>
      </w:pPr>
      <w:r>
        <w:t xml:space="preserve">Validation is done as a summative usability evaluation.</w:t>
      </w:r>
    </w:p>
    <w:p>
      <w:pPr>
        <w:pStyle w:val="BodyText"/>
      </w:pPr>
      <w:r>
        <w:t xml:space="preserve">A Usability Test is conducted in the context of the actual user needs in accordance with the Usability</w:t>
      </w:r>
      <w:r>
        <w:t xml:space="preserve"> </w:t>
      </w:r>
      <w:r>
        <w:t xml:space="preserve">Evaluation Plan.</w:t>
      </w:r>
    </w:p>
    <w:p>
      <w:pPr>
        <w:pStyle w:val="BodyText"/>
      </w:pPr>
      <w:r>
        <w:t xml:space="preserve">If new risks are discovered during the usability tests, they are added to the risk table.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950"/>
        <w:gridCol w:w="6969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CPO</w:t>
            </w:r>
            <w:r>
              <w:t xml:space="preserve">Usability Engineer</w:t>
            </w:r>
            <w:r>
              <w:t xml:space="preserve">Users for Usability Test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Needs, Labeling and Instructions for Use (if applicable), Usability Evaluation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Test Protocol(s), Summative Evaluation Report, Risk Table (updated)</w:t>
            </w:r>
          </w:p>
        </w:tc>
      </w:tr>
    </w:tbl>
    <w:bookmarkEnd w:id="31"/>
    <w:bookmarkStart w:id="32" w:name="X87d7531ededcc70e23f8f752aef5360a8dc1e96"/>
    <w:p>
      <w:pPr>
        <w:pStyle w:val="Heading3"/>
      </w:pPr>
      <w:r>
        <w:t xml:space="preserve">10. Final Risk Assessment and Risk-Benefit Analysis</w:t>
      </w:r>
    </w:p>
    <w:p>
      <w:pPr>
        <w:pStyle w:val="FirstParagraph"/>
      </w:pPr>
      <w:r>
        <w:t xml:space="preserve">The overall risk of the product is evaluated by analyzing all identified risks so far. If unacceptable risks</w:t>
      </w:r>
      <w:r>
        <w:t xml:space="preserve"> </w:t>
      </w:r>
      <w:r>
        <w:t xml:space="preserve">exist, they are weighed against the benefits of the Medical Device as part of the Clinical Evaluation SOP and</w:t>
      </w:r>
      <w:r>
        <w:t xml:space="preserve"> </w:t>
      </w:r>
      <w:r>
        <w:t xml:space="preserve">as specified by the Clinical Evaluation Report. We only continue to release the Medical Device if the benefits</w:t>
      </w:r>
      <w:r>
        <w:t xml:space="preserve"> </w:t>
      </w:r>
      <w:r>
        <w:t xml:space="preserve">outweigh the risks.</w:t>
      </w:r>
    </w:p>
    <w:p>
      <w:pPr>
        <w:pStyle w:val="BodyText"/>
      </w:pPr>
      <w:r>
        <w:t xml:space="preserve">If unacceptable risks remain which are not outweighed by the benefits, we consider adding new risk control</w:t>
      </w:r>
      <w:r>
        <w:t xml:space="preserve"> </w:t>
      </w:r>
      <w:r>
        <w:t xml:space="preserve">measures and move back in to the relevant step in the process.</w:t>
      </w:r>
    </w:p>
    <w:p>
      <w:pPr>
        <w:pStyle w:val="BodyText"/>
      </w:pPr>
      <w:r>
        <w:t xml:space="preserve">The finalization of the Risk Management Report is the prerequisite for finalizing the Software Safety</w:t>
      </w:r>
      <w:r>
        <w:t xml:space="preserve"> </w:t>
      </w:r>
      <w:r>
        <w:t xml:space="preserve">Classification.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922"/>
        <w:gridCol w:w="6997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CEO, CTO, CPO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Preliminary Hazards Analysis, Risk Table, Clinical Evaluation, Software (Release Candidate)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 Report, Software Safety Classification (final)</w:t>
            </w:r>
          </w:p>
        </w:tc>
      </w:tr>
    </w:tbl>
    <w:bookmarkEnd w:id="32"/>
    <w:bookmarkStart w:id="35" w:name="product-release-and-labeling"/>
    <w:p>
      <w:pPr>
        <w:pStyle w:val="Heading3"/>
      </w:pPr>
      <w:r>
        <w:t xml:space="preserve">11. Product Release and Labeling</w:t>
      </w:r>
    </w:p>
    <w:p>
      <w:pPr>
        <w:pStyle w:val="FirstParagraph"/>
      </w:pPr>
      <w:r>
        <w:t xml:space="preserve">Before release, it is ensured that all required process steps (software development, usability evaluation,</w:t>
      </w:r>
      <w:r>
        <w:t xml:space="preserve"> </w:t>
      </w:r>
      <w:r>
        <w:t xml:space="preserve">risk analysis) have been completed. Release notes are created and the list of known anomalies is</w:t>
      </w:r>
      <w:r>
        <w:t xml:space="preserve"> </w:t>
      </w:r>
      <w:r>
        <w:t xml:space="preserve">finalized. The software is only released if the remaining anomalies are deemed acceptable.</w:t>
      </w:r>
    </w:p>
    <w:p>
      <w:pPr>
        <w:pStyle w:val="BodyText"/>
      </w:pPr>
      <w:r>
        <w:t xml:space="preserve">Finally, the software is assigned required labeling, including at minimum:</w:t>
      </w:r>
      <w:r>
        <w:t xml:space="preserve"> </w:t>
      </w:r>
      <w:r>
        <w:t xml:space="preserve">* The (trade) name of the device and manufacturer address</w:t>
      </w:r>
      <w:r>
        <w:t xml:space="preserve"> </w:t>
      </w:r>
      <w:r>
        <w:t xml:space="preserve">* The intended purpose of the device (where it is not obvious to the user)</w:t>
      </w:r>
      <w:r>
        <w:t xml:space="preserve"> </w:t>
      </w:r>
      <w:r>
        <w:t xml:space="preserve">* An indication that the product is a medical device, following symbols and labels specified in ISO 15223-1</w:t>
      </w:r>
      <w:r>
        <w:t xml:space="preserve"> </w:t>
      </w:r>
      <w:r>
        <w:t xml:space="preserve">* CE marking</w:t>
      </w:r>
      <w:r>
        <w:t xml:space="preserve"> </w:t>
      </w:r>
      <w:r>
        <w:t xml:space="preserve">* Unique Device Identifier (see product certification and registration process)</w:t>
      </w:r>
      <w:r>
        <w:t xml:space="preserve"> </w:t>
      </w:r>
      <w:r>
        <w:t xml:space="preserve">* Software version number in accordance with the software development plan</w:t>
      </w:r>
      <w:r>
        <w:t xml:space="preserve"> </w:t>
      </w:r>
      <w:r>
        <w:t xml:space="preserve">* Warning, precautions, contraindications and residual risks that need to be brought to the user’s attention</w:t>
      </w:r>
      <w:r>
        <w:t xml:space="preserve"> </w:t>
      </w:r>
      <w:r>
        <w:t xml:space="preserve">as outlined by risk control measures in the risk file</w:t>
      </w:r>
    </w:p>
    <w:p>
      <w:pPr>
        <w:pStyle w:val="BodyText"/>
      </w:pPr>
      <w:r>
        <w:rPr>
          <w:b/>
          <w:bCs/>
        </w:rPr>
        <w:t xml:space="preserve">Regulatory Release:</w:t>
      </w:r>
    </w:p>
    <w:p>
      <w:pPr>
        <w:pStyle w:val="BodyText"/>
      </w:pPr>
      <w:r>
        <w:t xml:space="preserve">A product (version) is considered released with the release of its declaration of conformity or, in the case</w:t>
      </w:r>
      <w:r>
        <w:t xml:space="preserve"> </w:t>
      </w:r>
      <w:r>
        <w:t xml:space="preserve">of a minor version update, with the release of its updated software release checklist. The documents have to</w:t>
      </w:r>
      <w:r>
        <w:t xml:space="preserve"> </w:t>
      </w:r>
      <w:r>
        <w:t xml:space="preserve">be signed by both a member of Management and the Person Responsible for Regulatory Compliance (PRRC). The</w:t>
      </w:r>
      <w:r>
        <w:t xml:space="preserve"> </w:t>
      </w:r>
      <w:r>
        <w:t xml:space="preserve">regulatory release is completed by following all steps of SOP for product certification and registration.</w:t>
      </w:r>
    </w:p>
    <w:p>
      <w:pPr>
        <w:pStyle w:val="BodyText"/>
      </w:pPr>
      <w:r>
        <w:rPr>
          <w:b/>
          <w:bCs/>
        </w:rPr>
        <w:t xml:space="preserve">Technical Release:</w:t>
      </w:r>
    </w:p>
    <w:p>
      <w:pPr>
        <w:pStyle w:val="BodyText"/>
      </w:pPr>
      <w:r>
        <w:t xml:space="preserve">Following the regulatory release of the device, market placement and release is carried out by following the</w:t>
      </w:r>
      <w:r>
        <w:t xml:space="preserve"> </w:t>
      </w:r>
      <w:r>
        <w:t xml:space="preserve">deployment process.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PRRC</w:t>
            </w:r>
          </w:p>
        </w:tc>
      </w:tr>
    </w:tbl>
    <w:p/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870"/>
        <w:gridCol w:w="405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Released Software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Release Checklist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Release Checklist (filled out)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Analysis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 Notes incl. list of known anomalies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Needs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Requirements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Architecture and Detailed Design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Items incl. Verification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System Test Report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Evaluation Results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5"/>
    <w:bookmarkEnd w:id="36"/>
    <w:bookmarkEnd w:id="3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