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list-of-hazard-related-use-scenarios"/>
    <w:p>
      <w:pPr>
        <w:pStyle w:val="Heading1"/>
      </w:pPr>
      <w:r>
        <w:t xml:space="preserve">List of Hazard-Related Use Scenarios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872"/>
        <w:gridCol w:w="4752"/>
        <w:gridCol w:w="1296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and describe Hazard-Related Use Scenarios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Select the Hazard-Related Use Scenarios for Summative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0"/>
    <w:bookmarkStart w:id="21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The goal of the list of Hazard-Related Use Scenarios is to gather all Use Scenarios which could be associated</w:t>
      </w:r>
      <w:r>
        <w:t xml:space="preserve"> </w:t>
      </w:r>
      <w:r>
        <w:t xml:space="preserve">with a Hazard, e.g., if a user doesn’t understand a certain feature of the app (bad design leading to poor</w:t>
      </w:r>
      <w:r>
        <w:t xml:space="preserve"> </w:t>
      </w:r>
      <w:r>
        <w:t xml:space="preserve">usability), then a Hazard could be encountered which could subsequently lead to a Hazardous Situation.</w:t>
      </w:r>
    </w:p>
    <w:bookmarkEnd w:id="21"/>
    <w:bookmarkStart w:id="24" w:name="hazard-related-use-scenarios"/>
    <w:p>
      <w:pPr>
        <w:pStyle w:val="Heading2"/>
      </w:pPr>
      <w:r>
        <w:t xml:space="preserve">1. Hazard-Related Use Scenarios</w:t>
      </w:r>
    </w:p>
    <w:p>
      <w:pPr>
        <w:pStyle w:val="BlockText"/>
      </w:pPr>
      <w:r>
        <w:t xml:space="preserve">Fill out this list with Use Scenarios which could be Hazard-related. A good rule of thumb is to have 3-10</w:t>
      </w:r>
      <w:r>
        <w:t xml:space="preserve"> </w:t>
      </w:r>
      <w:r>
        <w:t xml:space="preserve">scenarios, based on the risk profile of your software.</w:t>
      </w:r>
    </w:p>
    <w:p>
      <w:pPr>
        <w:pStyle w:val="BlockText"/>
      </w:pPr>
      <w:r>
        <w:t xml:space="preserve">Also, note that you should prefer to create a spreadsheet for this table (e.g., in Google Sheets) as putting a</w:t>
      </w:r>
      <w:r>
        <w:t xml:space="preserve"> </w:t>
      </w:r>
      <w:r>
        <w:t xml:space="preserve">table in a document will surely lead to chaos. But then again, there’s always a certain level of chaos in</w:t>
      </w:r>
      <w:r>
        <w:t xml:space="preserve"> </w:t>
      </w:r>
      <w:r>
        <w:t xml:space="preserve">regulatory documentation.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65"/>
        <w:gridCol w:w="497"/>
        <w:gridCol w:w="829"/>
        <w:gridCol w:w="2280"/>
        <w:gridCol w:w="2612"/>
        <w:gridCol w:w="1534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Group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 State / Environment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Tasks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Acceptance Criteria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Physician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Assess COVID score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1) App is installed</w:t>
            </w:r>
            <w:r>
              <w:t xml:space="preserve">2) App displays patient 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Understand COVID score and initiate further medical treatment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COVID score is understood correctly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2024-06-04T04:34:32Z</dcterms:created>
  <dcterms:modified xsi:type="dcterms:W3CDTF">2024-06-04T04:34:32Z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