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usability-evaluation-plan"/>
    <w:p>
      <w:pPr>
        <w:pStyle w:val="Heading1"/>
      </w:pPr>
      <w:r>
        <w:t xml:space="preserve">Usability Evaluation Plan</w:t>
      </w:r>
    </w:p>
    <w:p>
      <w:pPr>
        <w:pStyle w:val="FirstParagraph"/>
      </w:pPr>
      <w:r>
        <w:t xml:space="preserve">The Usability Evaluation Plan describes the Usability Evaluation activities and their required resources which</w:t>
      </w:r>
      <w:r>
        <w:t xml:space="preserve"> </w:t>
      </w:r>
      <w:r>
        <w:t xml:space="preserve">will be performed for the device.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262"/>
        <w:gridCol w:w="4090"/>
        <w:gridCol w:w="1566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Tailoring of the Usability Engineering effort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relevant-processes"/>
    <w:p>
      <w:pPr>
        <w:pStyle w:val="Heading2"/>
      </w:pPr>
      <w:r>
        <w:t xml:space="preserve">1. Relevant Processes</w:t>
      </w:r>
    </w:p>
    <w:p>
      <w:pPr>
        <w:pStyle w:val="FirstParagraph"/>
      </w:pPr>
      <w:r>
        <w:t xml:space="preserve">Usability Engineering and Evaluation activities are defined in the</w:t>
      </w:r>
      <w:r>
        <w:t xml:space="preserve"> </w:t>
      </w:r>
      <w:r>
        <w:rPr>
          <w:b/>
          <w:bCs/>
        </w:rPr>
        <w:t xml:space="preserve">SOP Integrated Software Development</w:t>
      </w:r>
      <w:r>
        <w:t xml:space="preserve">.</w:t>
      </w:r>
    </w:p>
    <w:bookmarkEnd w:id="21"/>
    <w:bookmarkStart w:id="22" w:name="related-documents"/>
    <w:p>
      <w:pPr>
        <w:pStyle w:val="Heading2"/>
      </w:pPr>
      <w:r>
        <w:t xml:space="preserve">2. Related Documents</w:t>
      </w:r>
    </w:p>
    <w:p>
      <w:pPr>
        <w:pStyle w:val="Compact"/>
        <w:numPr>
          <w:ilvl w:val="0"/>
          <w:numId w:val="1001"/>
        </w:numPr>
      </w:pPr>
      <w:r>
        <w:t xml:space="preserve">List of Hazard-Related Use Scenarios</w:t>
      </w:r>
    </w:p>
    <w:p>
      <w:pPr>
        <w:pStyle w:val="Compact"/>
        <w:numPr>
          <w:ilvl w:val="0"/>
          <w:numId w:val="1001"/>
        </w:numPr>
      </w:pPr>
      <w:r>
        <w:t xml:space="preserve">Usability Evaluation Report</w:t>
      </w:r>
    </w:p>
    <w:bookmarkEnd w:id="22"/>
    <w:bookmarkStart w:id="23" w:name="roles"/>
    <w:p>
      <w:pPr>
        <w:pStyle w:val="Heading2"/>
      </w:pPr>
      <w:r>
        <w:t xml:space="preserve">3. Roles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Usability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Context / Subject Matter Expert, e.g., physician</w:t>
            </w:r>
          </w:p>
        </w:tc>
        <w:tc>
          <w:tcPr/>
          <w:p>
            <w:pPr>
              <w:pStyle w:val="Compact"/>
            </w:pPr>
          </w:p>
        </w:tc>
      </w:tr>
    </w:tbl>
    <w:bookmarkEnd w:id="23"/>
    <w:bookmarkStart w:id="26" w:name="formative-usability-evaluation"/>
    <w:p>
      <w:pPr>
        <w:pStyle w:val="Heading2"/>
      </w:pPr>
      <w:r>
        <w:t xml:space="preserve">4. Formative Usability Evaluation</w:t>
      </w:r>
    </w:p>
    <w:bookmarkStart w:id="24" w:name="methods"/>
    <w:p>
      <w:pPr>
        <w:pStyle w:val="Heading3"/>
      </w:pPr>
      <w:r>
        <w:t xml:space="preserve">4.1 Methods</w:t>
      </w:r>
    </w:p>
    <w:p>
      <w:pPr>
        <w:pStyle w:val="FirstParagraph"/>
      </w:pPr>
      <w:r>
        <w:t xml:space="preserve">Formative Usability Evaluation is performed with the following methods: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Presentation of mockups or prototypes to subject matter experts:</w:t>
      </w:r>
      <w:r>
        <w:t xml:space="preserve"> </w:t>
      </w:r>
      <w:r>
        <w:t xml:space="preserve">E.g., by demonstrating the</w:t>
      </w:r>
      <w:r>
        <w:t xml:space="preserve"> </w:t>
      </w:r>
      <w:r>
        <w:t xml:space="preserve">functionality in an in-person or remote screen sharing session.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Feedback sessions with UX/UI experts:</w:t>
      </w:r>
      <w:r>
        <w:t xml:space="preserve"> </w:t>
      </w:r>
      <w:r>
        <w:t xml:space="preserve">Showing concepts, designs, mockups or prototypes to internal or</w:t>
      </w:r>
      <w:r>
        <w:t xml:space="preserve"> </w:t>
      </w:r>
      <w:r>
        <w:t xml:space="preserve">external UX/UI experts with the goal of gathering feedback on potential usability problems and</w:t>
      </w:r>
      <w:r>
        <w:t xml:space="preserve"> </w:t>
      </w:r>
      <w:r>
        <w:t xml:space="preserve">improvements.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User Tests:</w:t>
      </w:r>
      <w:r>
        <w:t xml:space="preserve"> </w:t>
      </w:r>
      <w:r>
        <w:t xml:space="preserve">Letting users of the intended target user group use the device based on a Usability</w:t>
      </w:r>
      <w:r>
        <w:t xml:space="preserve"> </w:t>
      </w:r>
      <w:r>
        <w:t xml:space="preserve">Evaluation protocol, observing them and documenting potential Usability problems. This is essentially the</w:t>
      </w:r>
      <w:r>
        <w:t xml:space="preserve"> </w:t>
      </w:r>
      <w:r>
        <w:t xml:space="preserve">same methods as the Summative Usability Evaluation, with the only difference being that it’s being done on</w:t>
      </w:r>
      <w:r>
        <w:t xml:space="preserve"> </w:t>
      </w:r>
      <w:r>
        <w:t xml:space="preserve">a development (non-final, non-release) version of the device with the goal of gathering knowledge for</w:t>
      </w:r>
      <w:r>
        <w:t xml:space="preserve"> </w:t>
      </w:r>
      <w:r>
        <w:t xml:space="preserve">improving the final device.</w:t>
      </w:r>
    </w:p>
    <w:bookmarkEnd w:id="24"/>
    <w:bookmarkStart w:id="25" w:name="planning-overview"/>
    <w:p>
      <w:pPr>
        <w:pStyle w:val="Heading3"/>
      </w:pPr>
      <w:r>
        <w:t xml:space="preserve">4.2 Planning (Overview)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922"/>
        <w:gridCol w:w="6997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01.01.2021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Formative Evaluation 1</w:t>
            </w:r>
            <w:r>
              <w:t xml:space="preserve">(Description of methods incl. environment, participants etc.)</w:t>
            </w:r>
          </w:p>
        </w:tc>
      </w:tr>
    </w:tbl>
    <w:bookmarkEnd w:id="25"/>
    <w:bookmarkEnd w:id="26"/>
    <w:bookmarkStart w:id="28" w:name="summative-usability-evaluation"/>
    <w:p>
      <w:pPr>
        <w:pStyle w:val="Heading2"/>
      </w:pPr>
      <w:r>
        <w:t xml:space="preserve">5 Summative Usability Evaluation</w:t>
      </w:r>
    </w:p>
    <w:bookmarkStart w:id="27" w:name="method"/>
    <w:p>
      <w:pPr>
        <w:pStyle w:val="Heading3"/>
      </w:pPr>
      <w:r>
        <w:t xml:space="preserve">5.1 Method</w:t>
      </w:r>
    </w:p>
    <w:p>
      <w:pPr>
        <w:pStyle w:val="FirstParagraph"/>
      </w:pPr>
      <w:r>
        <w:t xml:space="preserve">Summative Usability Evaluation is conducted by performing User Tests.</w:t>
      </w:r>
    </w:p>
    <w:p>
      <w:pPr>
        <w:pStyle w:val="BodyText"/>
      </w:pPr>
      <w:r>
        <w:t xml:space="preserve">User Tests must comply with the following requirements:</w:t>
      </w:r>
    </w:p>
    <w:p>
      <w:pPr>
        <w:pStyle w:val="Compact"/>
        <w:numPr>
          <w:ilvl w:val="0"/>
          <w:numId w:val="1003"/>
        </w:numPr>
      </w:pPr>
      <w:r>
        <w:t xml:space="preserve">The user profile is the one specified in the Device Description.</w:t>
      </w:r>
    </w:p>
    <w:p>
      <w:pPr>
        <w:pStyle w:val="Compact"/>
        <w:numPr>
          <w:ilvl w:val="0"/>
          <w:numId w:val="1003"/>
        </w:numPr>
      </w:pPr>
      <w:r>
        <w:t xml:space="preserve">All Hazard-Related Use Scenarios must be covered by test cases (see IEC 62366, para. 5.7.3 / 5.9).</w:t>
      </w:r>
    </w:p>
    <w:p>
      <w:pPr>
        <w:pStyle w:val="Compact"/>
        <w:numPr>
          <w:ilvl w:val="0"/>
          <w:numId w:val="1003"/>
        </w:numPr>
      </w:pPr>
      <w:r>
        <w:t xml:space="preserve">Sufficient stakeholder requirements / user needs must be covered by test cases to ensure that the product</w:t>
      </w:r>
      <w:r>
        <w:t xml:space="preserve"> </w:t>
      </w:r>
      <w:r>
        <w:t xml:space="preserve">meets its intended use (see ISO 13485, para. 7.3.7)</w:t>
      </w:r>
    </w:p>
    <w:p>
      <w:pPr>
        <w:pStyle w:val="Compact"/>
        <w:numPr>
          <w:ilvl w:val="0"/>
          <w:numId w:val="1003"/>
        </w:numPr>
      </w:pPr>
      <w:r>
        <w:t xml:space="preserve">At least five test participants.</w:t>
      </w:r>
    </w:p>
    <w:p>
      <w:pPr>
        <w:pStyle w:val="Compact"/>
        <w:numPr>
          <w:ilvl w:val="0"/>
          <w:numId w:val="1003"/>
        </w:numPr>
      </w:pPr>
      <w:r>
        <w:t xml:space="preserve">The Usability Test Protocol must be filled out which descriptions of each use scenario and</w:t>
      </w:r>
      <w:r>
        <w:t xml:space="preserve"> </w:t>
      </w:r>
      <w:r>
        <w:t xml:space="preserve">instructions. It is also used to document the observations and discovered hazards.</w:t>
      </w:r>
    </w:p>
    <w:p>
      <w:pPr>
        <w:pStyle w:val="FirstParagraph"/>
      </w:pPr>
      <w:r>
        <w:t xml:space="preserve">The following requirements are optional:</w:t>
      </w:r>
    </w:p>
    <w:p>
      <w:pPr>
        <w:pStyle w:val="Compact"/>
        <w:numPr>
          <w:ilvl w:val="0"/>
          <w:numId w:val="1004"/>
        </w:numPr>
      </w:pPr>
      <w:r>
        <w:t xml:space="preserve">Usability Tests are recorded, e.g., video/audio (either in-person or remotely) and screen recording (of</w:t>
      </w:r>
      <w:r>
        <w:t xml:space="preserve"> </w:t>
      </w:r>
      <w:r>
        <w:t xml:space="preserve">phone / desktop computer)</w:t>
      </w:r>
    </w:p>
    <w:p>
      <w:pPr>
        <w:pStyle w:val="FirstParagraph"/>
      </w:pPr>
      <w:r>
        <w:t xml:space="preserve">Results of Summative Usability Evaluation are summarized in the Usability Evaluation Report, most importantly:</w:t>
      </w:r>
    </w:p>
    <w:p>
      <w:pPr>
        <w:pStyle w:val="Compact"/>
        <w:numPr>
          <w:ilvl w:val="0"/>
          <w:numId w:val="1005"/>
        </w:numPr>
      </w:pPr>
      <w:r>
        <w:t xml:space="preserve">Could all tasks in the Usability Test Protocol be achieved?</w:t>
      </w:r>
    </w:p>
    <w:p>
      <w:pPr>
        <w:pStyle w:val="Compact"/>
        <w:numPr>
          <w:ilvl w:val="1"/>
          <w:numId w:val="1006"/>
        </w:numPr>
      </w:pPr>
      <w:r>
        <w:t xml:space="preserve">If not, why?</w:t>
      </w:r>
    </w:p>
    <w:p>
      <w:pPr>
        <w:pStyle w:val="Compact"/>
        <w:numPr>
          <w:ilvl w:val="0"/>
          <w:numId w:val="1005"/>
        </w:numPr>
      </w:pPr>
      <w:r>
        <w:t xml:space="preserve">Which Use Errors occurred and could they lead to Hazardous Situations? –&gt; Risk analysis of use errors</w:t>
      </w:r>
    </w:p>
    <w:bookmarkEnd w:id="27"/>
    <w:bookmarkEnd w:id="28"/>
    <w:bookmarkStart w:id="32" w:name="planning-setting"/>
    <w:p>
      <w:pPr>
        <w:pStyle w:val="Heading2"/>
      </w:pPr>
      <w:r>
        <w:t xml:space="preserve">5.2 Planning (Setting)</w:t>
      </w:r>
    </w:p>
    <w:bookmarkStart w:id="29" w:name="participants"/>
    <w:p>
      <w:pPr>
        <w:pStyle w:val="Heading4"/>
      </w:pPr>
      <w:r>
        <w:t xml:space="preserve">Participants</w:t>
      </w:r>
    </w:p>
    <w:bookmarkEnd w:id="29"/>
    <w:bookmarkStart w:id="30" w:name="setting"/>
    <w:p>
      <w:pPr>
        <w:pStyle w:val="Heading4"/>
      </w:pPr>
      <w:r>
        <w:t xml:space="preserve">Setting</w:t>
      </w:r>
    </w:p>
    <w:bookmarkEnd w:id="30"/>
    <w:bookmarkStart w:id="31" w:name="methods-and-analysis"/>
    <w:p>
      <w:pPr>
        <w:pStyle w:val="Heading4"/>
      </w:pPr>
      <w:r>
        <w:t xml:space="preserve">Methods and Analysis</w:t>
      </w:r>
    </w:p>
    <w:p>
      <w:pPr>
        <w:pStyle w:val="BlockText"/>
      </w:pPr>
      <w:r>
        <w:t xml:space="preserve">Describe whether it’s done in person or remotely and how you will document the results (have a protocol at</w:t>
      </w:r>
      <w:r>
        <w:t xml:space="preserve"> </w:t>
      </w:r>
      <w:r>
        <w:t xml:space="preserve">the minimum), optionally also record the sessions.</w:t>
      </w:r>
    </w:p>
    <w:p>
      <w:pPr>
        <w:pStyle w:val="BlockText"/>
      </w:pPr>
      <w:r>
        <w:t xml:space="preserve">Also, describe how you plan to analyse the data.</w:t>
      </w:r>
    </w:p>
    <w:bookmarkEnd w:id="31"/>
    <w:bookmarkEnd w:id="32"/>
    <w:bookmarkStart w:id="35" w:name="planning-overview-1"/>
    <w:p>
      <w:pPr>
        <w:pStyle w:val="Heading2"/>
      </w:pPr>
      <w:r>
        <w:t xml:space="preserve">5.3 Planning (Overview)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922"/>
        <w:gridCol w:w="6997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02.01.2021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Summative Evaluation 1</w:t>
            </w:r>
            <w:r>
              <w:t xml:space="preserve">(Description of methods incl. environment, participants etc.)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