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7" w:name="document-roadmap-techdoc"/>
    <w:p>
      <w:pPr>
        <w:pStyle w:val="Heading1"/>
      </w:pPr>
      <w:r>
        <w:t xml:space="preserve">Document Roadmap TechDoc</w:t>
      </w:r>
    </w:p>
    <w:p>
      <w:pPr>
        <w:pStyle w:val="FirstParagraph"/>
      </w:pPr>
      <w:r>
        <w:t xml:space="preserve">This is a proposed roadmap to creating the TechDoc file. The documents are grouped by</w:t>
      </w:r>
      <w:r>
        <w:t xml:space="preserve"> </w:t>
      </w:r>
      <w:r>
        <w:t xml:space="preserve">“</w:t>
      </w:r>
      <w:r>
        <w:t xml:space="preserve">Design Phase</w:t>
      </w:r>
      <w:r>
        <w:t xml:space="preserve">”</w:t>
      </w:r>
      <w:r>
        <w:t xml:space="preserve">. To each</w:t>
      </w:r>
      <w:r>
        <w:t xml:space="preserve"> </w:t>
      </w:r>
      <w:r>
        <w:t xml:space="preserve">document, a responsible person is assigned as the author. Go through the list phase by phase. You can mix up</w:t>
      </w:r>
      <w:r>
        <w:t xml:space="preserve"> </w:t>
      </w:r>
      <w:r>
        <w:t xml:space="preserve">the order of documents within a phase, but I recommend to finalize documents from one phase before moving on</w:t>
      </w:r>
      <w:r>
        <w:t xml:space="preserve"> </w:t>
      </w:r>
      <w:r>
        <w:t xml:space="preserve">to the next.</w:t>
      </w:r>
    </w:p>
    <w:bookmarkStart w:id="20" w:name="phase-1-planning-feasability"/>
    <w:p>
      <w:pPr>
        <w:pStyle w:val="Heading3"/>
      </w:pPr>
      <w:r>
        <w:t xml:space="preserve">PHASE 1: Planning &amp; Feasability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492"/>
        <w:gridCol w:w="944"/>
        <w:gridCol w:w="5483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Document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Author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Intended Use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This is the most important document of your TechDoc. Business and Regulatory Strategy depend on it.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Medical Device Classification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QA/RA Manger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Defining the product’s medical device classification acc. to MDR.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Product Roadmap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an essential document. This is for feasibility assessments and resource planning. Helps to keep track of what’s to come.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Giving product-specific information on the tools, resources and methods to be used for software development. Helpful for developer teams to align regarding the development setup.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Change Evaluation List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QA/RA Manger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Listing and assessing gaps between the last and the upcoming software version. Follows criteria from MDCG 2020-3. Not needed for the very first release.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Risk Management Plan and Risk Acceptance Matrix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Specifies the methods for assessing risks to be used for the product at hand. Defines probability and severity categories and acceptable ranges.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Clinical Evaluation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Clinician / Scientific Person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Specifying the methodology that shall be used to assess the clinical benefits and risks of the product.</w:t>
            </w:r>
          </w:p>
        </w:tc>
      </w:tr>
    </w:tbl>
    <w:bookmarkEnd w:id="20"/>
    <w:bookmarkStart w:id="21" w:name="phase-2-specification"/>
    <w:p>
      <w:pPr>
        <w:pStyle w:val="Heading3"/>
      </w:pPr>
      <w:r>
        <w:t xml:space="preserve">PHASE 2: Specification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635"/>
        <w:gridCol w:w="1635"/>
        <w:gridCol w:w="4648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Document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Author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User Needs List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This is a list of high-level requirements. Most of them will be implemented through Software Requirements.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User Needs Checklist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QA/RA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Checking if the User Needs List makes sense.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Software Requirements List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Developer-adjacent person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Specifying how User Needs will be incorporated in the software. Describing the details of a feature.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List of Hazard-Related Use Scenarios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Identifying scenarios in which users could be prone to hazards.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Risk Table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Anticipating and assessing risks. Gathering input from various channels.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Software Requirements Checklist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QA/RA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Checking if the Software Requirements List makes sense.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Software Test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Defining tests for every Software Requirement and mapping them to each other.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Usability Test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Manager / Usability Engineer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Specifying the methodologies to be used to conduct the Usability Test.</w:t>
            </w:r>
          </w:p>
        </w:tc>
      </w:tr>
    </w:tbl>
    <w:bookmarkEnd w:id="21"/>
    <w:bookmarkStart w:id="22" w:name="phase-3-development"/>
    <w:p>
      <w:pPr>
        <w:pStyle w:val="Heading3"/>
      </w:pPr>
      <w:r>
        <w:t xml:space="preserve">PHASE 3: Development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67"/>
        <w:gridCol w:w="1015"/>
        <w:gridCol w:w="573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Document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Author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SOUP List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List of external libraries, frameworks and packages used in the product, incl. their assessment of criticality.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Software Architecture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Description/Graphic outlining the software components and their interaction.</w:t>
            </w:r>
          </w:p>
        </w:tc>
      </w:tr>
    </w:tbl>
    <w:p>
      <w:pPr>
        <w:pStyle w:val="BodyText"/>
      </w:pPr>
      <w:r>
        <w:t xml:space="preserve">The actual programming work takes place in this phase. It makes sense to create the SOUP list and the software</w:t>
      </w:r>
      <w:r>
        <w:t xml:space="preserve"> </w:t>
      </w:r>
      <w:r>
        <w:t xml:space="preserve">architecture immediately before programming begins and to adjust them if anything changes during code</w:t>
      </w:r>
      <w:r>
        <w:t xml:space="preserve"> </w:t>
      </w:r>
      <w:r>
        <w:t xml:space="preserve">creation. These documents should actually be created in advance, but due to the iterative nature of software</w:t>
      </w:r>
      <w:r>
        <w:t xml:space="preserve"> </w:t>
      </w:r>
      <w:r>
        <w:t xml:space="preserve">development, it will not be possible to plan everything before the actual work begins. Therefore, it makes</w:t>
      </w:r>
      <w:r>
        <w:t xml:space="preserve"> </w:t>
      </w:r>
      <w:r>
        <w:t xml:space="preserve">sense to create them in parallel with the programming.</w:t>
      </w:r>
    </w:p>
    <w:bookmarkEnd w:id="22"/>
    <w:bookmarkStart w:id="23" w:name="phase-4-verification-and-validation"/>
    <w:p>
      <w:pPr>
        <w:pStyle w:val="Heading3"/>
      </w:pPr>
      <w:r>
        <w:t xml:space="preserve">PHASE 4: Verification and Validation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905"/>
        <w:gridCol w:w="1228"/>
        <w:gridCol w:w="578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Document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Author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Software Test Results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QA Tester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Results of the Software Tests: passed or failed?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List of Known Anomalies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Developer / Product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List of known bugs and failed software tests. Justification why the software can still be released without impacting benefit/safety and a timeline when those bugs will be fixed.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Instructions For Use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Person with the best overview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The name says it all.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Usability Test Protocol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Manager / Usability Engineer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Specifying the actual usability test cases: Testing User Needs, Hazard-Related Use Scenarios and Instructions for Use.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Usability Test Report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Summary of the results of the Usability Test.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Clinical Evaluation Report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Clinician / Scientific Person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Analysing scientific data to prove the products safety and efficacy.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Risk Management Report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Summary of the Risk Management Activities</w:t>
            </w:r>
          </w:p>
        </w:tc>
      </w:tr>
    </w:tbl>
    <w:bookmarkEnd w:id="23"/>
    <w:bookmarkStart w:id="26" w:name="phase-5-product-release"/>
    <w:p>
      <w:pPr>
        <w:pStyle w:val="Heading3"/>
      </w:pPr>
      <w:r>
        <w:t xml:space="preserve">PHASE 5: Product Release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955"/>
        <w:gridCol w:w="1331"/>
        <w:gridCol w:w="563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Document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Author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GSPR List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QA/RA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Checking if the</w:t>
            </w:r>
            <w:r>
              <w:t xml:space="preserve"> </w:t>
            </w:r>
            <w:r>
              <w:t xml:space="preserve">“</w:t>
            </w:r>
            <w:r>
              <w:t xml:space="preserve">General Safety and Performance Requirements</w:t>
            </w:r>
            <w:r>
              <w:t xml:space="preserve">”</w:t>
            </w:r>
            <w:r>
              <w:t xml:space="preserve"> </w:t>
            </w:r>
            <w:r>
              <w:t xml:space="preserve">are fulfilled.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PMS (/PMCF)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QA/RA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Planning the product-specific activities for Post-Market Surveillance. If the clinical data is not sufficient, also plan Post-Market Clinical Follow-Up activities.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Software Release Checklist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QA/RA Manager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Checking if all the requirements are fulfilled, if the documents are complete and if the product is safe to be used.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Release Notes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Manager OR Software Developer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Description of new features in the current release.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Declaration of Conformity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QA/RA and CEO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Declaring the product’s conformity with the regulations and standards.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4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5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/openregulatory.com" TargetMode="External" /><Relationship Type="http://schemas.openxmlformats.org/officeDocument/2006/relationships/hyperlink" Id="rId25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openregulatory.com" TargetMode="External" /><Relationship Type="http://schemas.openxmlformats.org/officeDocument/2006/relationships/hyperlink" Id="rId25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2024-10-07T11:10:16Z</dcterms:created>
  <dcterms:modified xsi:type="dcterms:W3CDTF">2024-10-07T11:10:16Z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